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F9C2" w14:textId="776BC66A" w:rsidR="001B3D32" w:rsidRDefault="001B3D32" w:rsidP="009A72F8">
      <w:pPr>
        <w:jc w:val="center"/>
        <w:outlineLvl w:val="0"/>
        <w:rPr>
          <w:rFonts w:ascii="Arial" w:hAnsi="Arial" w:cs="Arial"/>
          <w:b/>
          <w:sz w:val="28"/>
          <w:szCs w:val="28"/>
        </w:rPr>
      </w:pPr>
      <w:r w:rsidRPr="00DD43BA">
        <w:rPr>
          <w:rFonts w:ascii="Arial" w:hAnsi="Arial" w:cs="Arial"/>
          <w:b/>
          <w:sz w:val="28"/>
          <w:szCs w:val="28"/>
        </w:rPr>
        <w:t xml:space="preserve">Model comments on the </w:t>
      </w:r>
      <w:r>
        <w:rPr>
          <w:rFonts w:ascii="Arial" w:hAnsi="Arial" w:cs="Arial"/>
          <w:b/>
          <w:sz w:val="28"/>
          <w:szCs w:val="28"/>
        </w:rPr>
        <w:t>BCC</w:t>
      </w:r>
      <w:r w:rsidRPr="00DD43BA">
        <w:rPr>
          <w:rFonts w:ascii="Arial" w:hAnsi="Arial" w:cs="Arial"/>
          <w:b/>
          <w:sz w:val="28"/>
          <w:szCs w:val="28"/>
        </w:rPr>
        <w:t xml:space="preserve"> </w:t>
      </w:r>
      <w:r>
        <w:rPr>
          <w:rFonts w:ascii="Arial" w:hAnsi="Arial" w:cs="Arial"/>
          <w:b/>
          <w:sz w:val="28"/>
          <w:szCs w:val="28"/>
        </w:rPr>
        <w:t xml:space="preserve">Proposed </w:t>
      </w:r>
    </w:p>
    <w:p w14:paraId="7CA7C4CB" w14:textId="591523E0" w:rsidR="001B3D32" w:rsidRPr="00DD43BA" w:rsidRDefault="001B3D32" w:rsidP="001B3D32">
      <w:pPr>
        <w:jc w:val="center"/>
        <w:rPr>
          <w:rFonts w:ascii="Arial" w:hAnsi="Arial" w:cs="Arial"/>
          <w:b/>
          <w:sz w:val="28"/>
          <w:szCs w:val="28"/>
        </w:rPr>
      </w:pPr>
      <w:r>
        <w:rPr>
          <w:rFonts w:ascii="Arial" w:hAnsi="Arial" w:cs="Arial"/>
          <w:b/>
          <w:sz w:val="28"/>
          <w:szCs w:val="28"/>
        </w:rPr>
        <w:t>Text of Regulations</w:t>
      </w:r>
    </w:p>
    <w:p w14:paraId="21F5739A" w14:textId="5A4CFE5B" w:rsidR="001B3D32" w:rsidRPr="00DD43BA" w:rsidRDefault="001B3D32" w:rsidP="001B3D32">
      <w:pPr>
        <w:jc w:val="center"/>
        <w:rPr>
          <w:rFonts w:ascii="Arial" w:hAnsi="Arial" w:cs="Arial"/>
          <w:sz w:val="28"/>
          <w:szCs w:val="28"/>
        </w:rPr>
      </w:pPr>
      <w:r w:rsidRPr="00DD43BA">
        <w:rPr>
          <w:rFonts w:ascii="Arial" w:hAnsi="Arial" w:cs="Arial"/>
          <w:b/>
          <w:i/>
          <w:sz w:val="28"/>
          <w:szCs w:val="28"/>
        </w:rPr>
        <w:t>Getting it Right from the Start: Regulation of Recreational Marijuana</w:t>
      </w:r>
    </w:p>
    <w:p w14:paraId="6060929E" w14:textId="77777777" w:rsidR="001B3D32" w:rsidRDefault="001B3D32" w:rsidP="001B3D32">
      <w:pPr>
        <w:jc w:val="center"/>
        <w:rPr>
          <w:rFonts w:ascii="Arial" w:hAnsi="Arial" w:cs="Arial"/>
          <w:sz w:val="28"/>
          <w:szCs w:val="28"/>
        </w:rPr>
      </w:pPr>
      <w:r w:rsidRPr="00DD43BA">
        <w:rPr>
          <w:rFonts w:ascii="Arial" w:hAnsi="Arial" w:cs="Arial"/>
          <w:sz w:val="28"/>
          <w:szCs w:val="28"/>
        </w:rPr>
        <w:t>A project of the Public Health Institute</w:t>
      </w:r>
    </w:p>
    <w:p w14:paraId="73E58FA9" w14:textId="77777777" w:rsidR="001B3D32" w:rsidRDefault="001B3D32" w:rsidP="001B3D32">
      <w:pPr>
        <w:jc w:val="center"/>
        <w:rPr>
          <w:rFonts w:ascii="Arial" w:hAnsi="Arial" w:cs="Arial"/>
          <w:sz w:val="28"/>
          <w:szCs w:val="28"/>
        </w:rPr>
      </w:pPr>
    </w:p>
    <w:p w14:paraId="48C5458C" w14:textId="198C0010" w:rsidR="001B3D32" w:rsidRPr="002C2FA4" w:rsidRDefault="001B3D32" w:rsidP="009A72F8">
      <w:pPr>
        <w:jc w:val="center"/>
        <w:outlineLvl w:val="0"/>
        <w:rPr>
          <w:rFonts w:ascii="Arial" w:hAnsi="Arial" w:cs="Arial"/>
        </w:rPr>
      </w:pPr>
      <w:r w:rsidRPr="002C2FA4">
        <w:rPr>
          <w:rFonts w:ascii="Arial" w:hAnsi="Arial" w:cs="Arial"/>
        </w:rPr>
        <w:t xml:space="preserve">Lynn Silver, </w:t>
      </w:r>
      <w:r w:rsidR="003E7447">
        <w:rPr>
          <w:rFonts w:ascii="Arial" w:hAnsi="Arial" w:cs="Arial"/>
        </w:rPr>
        <w:t xml:space="preserve">MD, MPH, FAAP, </w:t>
      </w:r>
      <w:r w:rsidRPr="002C2FA4">
        <w:rPr>
          <w:rFonts w:ascii="Arial" w:hAnsi="Arial" w:cs="Arial"/>
        </w:rPr>
        <w:t>Senior Advisor &amp; Director</w:t>
      </w:r>
    </w:p>
    <w:p w14:paraId="5309EF23" w14:textId="1677C79A" w:rsidR="001B3D32" w:rsidRDefault="001B3D32" w:rsidP="009A72F8">
      <w:pPr>
        <w:jc w:val="center"/>
        <w:outlineLvl w:val="0"/>
        <w:rPr>
          <w:rFonts w:ascii="Arial" w:hAnsi="Arial" w:cs="Arial"/>
        </w:rPr>
      </w:pPr>
      <w:r w:rsidRPr="002C2FA4">
        <w:rPr>
          <w:rFonts w:ascii="Arial" w:hAnsi="Arial" w:cs="Arial"/>
        </w:rPr>
        <w:t xml:space="preserve">Alisa </w:t>
      </w:r>
      <w:proofErr w:type="spellStart"/>
      <w:r w:rsidRPr="002C2FA4">
        <w:rPr>
          <w:rFonts w:ascii="Arial" w:hAnsi="Arial" w:cs="Arial"/>
        </w:rPr>
        <w:t>Padon</w:t>
      </w:r>
      <w:proofErr w:type="spellEnd"/>
      <w:r w:rsidRPr="002C2FA4">
        <w:rPr>
          <w:rFonts w:ascii="Arial" w:hAnsi="Arial" w:cs="Arial"/>
        </w:rPr>
        <w:t xml:space="preserve">, </w:t>
      </w:r>
      <w:r w:rsidR="003E7447">
        <w:rPr>
          <w:rFonts w:ascii="Arial" w:hAnsi="Arial" w:cs="Arial"/>
        </w:rPr>
        <w:t xml:space="preserve">PhD, </w:t>
      </w:r>
      <w:r w:rsidRPr="002C2FA4">
        <w:rPr>
          <w:rFonts w:ascii="Arial" w:hAnsi="Arial" w:cs="Arial"/>
        </w:rPr>
        <w:t>Research Scientist</w:t>
      </w:r>
      <w:r>
        <w:rPr>
          <w:rFonts w:ascii="Arial" w:hAnsi="Arial" w:cs="Arial"/>
        </w:rPr>
        <w:t xml:space="preserve"> &amp; Co-Director</w:t>
      </w:r>
    </w:p>
    <w:p w14:paraId="1FEBD654" w14:textId="7508A6D3" w:rsidR="009F60C7" w:rsidRDefault="009F60C7" w:rsidP="009A72F8">
      <w:pPr>
        <w:jc w:val="center"/>
        <w:outlineLvl w:val="0"/>
        <w:rPr>
          <w:rFonts w:ascii="Arial" w:hAnsi="Arial" w:cs="Arial"/>
        </w:rPr>
      </w:pPr>
      <w:r>
        <w:rPr>
          <w:rFonts w:ascii="Arial" w:hAnsi="Arial" w:cs="Arial"/>
        </w:rPr>
        <w:t xml:space="preserve">Amanda </w:t>
      </w:r>
      <w:proofErr w:type="spellStart"/>
      <w:r>
        <w:rPr>
          <w:rFonts w:ascii="Arial" w:hAnsi="Arial" w:cs="Arial"/>
        </w:rPr>
        <w:t>Naprawa</w:t>
      </w:r>
      <w:proofErr w:type="spellEnd"/>
      <w:r>
        <w:rPr>
          <w:rFonts w:ascii="Arial" w:hAnsi="Arial" w:cs="Arial"/>
        </w:rPr>
        <w:t xml:space="preserve">, </w:t>
      </w:r>
      <w:r w:rsidR="003E7447">
        <w:rPr>
          <w:rFonts w:ascii="Arial" w:hAnsi="Arial" w:cs="Arial"/>
        </w:rPr>
        <w:t xml:space="preserve">JD, MPH, </w:t>
      </w:r>
      <w:r>
        <w:rPr>
          <w:rFonts w:ascii="Arial" w:hAnsi="Arial" w:cs="Arial"/>
        </w:rPr>
        <w:t>Policy Associate</w:t>
      </w:r>
    </w:p>
    <w:p w14:paraId="67F4EE47" w14:textId="3A65FCEC" w:rsidR="00D622B0" w:rsidRDefault="00D622B0" w:rsidP="009A72F8">
      <w:pPr>
        <w:jc w:val="center"/>
        <w:outlineLvl w:val="0"/>
        <w:rPr>
          <w:rFonts w:ascii="Arial" w:hAnsi="Arial" w:cs="Arial"/>
        </w:rPr>
      </w:pPr>
    </w:p>
    <w:p w14:paraId="5564A0CE" w14:textId="1DD0F125" w:rsidR="00D622B0" w:rsidRPr="004E1B73" w:rsidRDefault="00D622B0" w:rsidP="00D622B0">
      <w:pPr>
        <w:rPr>
          <w:rFonts w:ascii="Arial" w:hAnsi="Arial" w:cs="Arial"/>
        </w:rPr>
      </w:pPr>
      <w:r w:rsidRPr="004E1B73">
        <w:rPr>
          <w:rFonts w:ascii="Arial" w:hAnsi="Arial" w:cs="Arial"/>
          <w:b/>
        </w:rPr>
        <w:t>Acknowledgement:</w:t>
      </w:r>
      <w:r w:rsidRPr="00D622B0">
        <w:rPr>
          <w:rFonts w:ascii="Arial" w:hAnsi="Arial" w:cs="Arial"/>
        </w:rPr>
        <w:t xml:space="preserve"> Sections of </w:t>
      </w:r>
      <w:r w:rsidRPr="00555D44">
        <w:rPr>
          <w:rFonts w:ascii="Arial" w:hAnsi="Arial" w:cs="Arial"/>
        </w:rPr>
        <w:t xml:space="preserve">certain comments such as those on daily sales limits, are adapted from </w:t>
      </w:r>
      <w:r w:rsidR="00D90F4B">
        <w:rPr>
          <w:rFonts w:ascii="Arial" w:hAnsi="Arial" w:cs="Arial"/>
        </w:rPr>
        <w:t xml:space="preserve">valuable </w:t>
      </w:r>
      <w:r w:rsidRPr="00555D44">
        <w:rPr>
          <w:rFonts w:ascii="Arial" w:hAnsi="Arial" w:cs="Arial"/>
        </w:rPr>
        <w:t xml:space="preserve">comments previously submitted by the University of California San Francisco </w:t>
      </w:r>
      <w:r w:rsidRPr="004E1B73">
        <w:rPr>
          <w:rFonts w:ascii="Arial" w:hAnsi="Arial" w:cs="Arial"/>
          <w:color w:val="000000"/>
          <w:shd w:val="clear" w:color="auto" w:fill="FFFFFF"/>
        </w:rPr>
        <w:t>Center for Tobacco Control Research and Education</w:t>
      </w:r>
      <w:r w:rsidR="00D90F4B">
        <w:rPr>
          <w:rFonts w:ascii="Arial" w:hAnsi="Arial" w:cs="Arial"/>
          <w:color w:val="000000"/>
          <w:shd w:val="clear" w:color="auto" w:fill="FFFFFF"/>
        </w:rPr>
        <w:t>,</w:t>
      </w:r>
      <w:r w:rsidR="00F03390">
        <w:rPr>
          <w:rFonts w:ascii="Arial" w:hAnsi="Arial" w:cs="Arial"/>
          <w:color w:val="000000"/>
          <w:shd w:val="clear" w:color="auto" w:fill="FFFFFF"/>
        </w:rPr>
        <w:t xml:space="preserve"> with appreciation.</w:t>
      </w:r>
    </w:p>
    <w:p w14:paraId="75A4CF7C" w14:textId="2F34F3A7" w:rsidR="00D622B0" w:rsidRPr="002C2FA4" w:rsidRDefault="00D622B0" w:rsidP="009A72F8">
      <w:pPr>
        <w:jc w:val="center"/>
        <w:outlineLvl w:val="0"/>
        <w:rPr>
          <w:rFonts w:ascii="Arial" w:hAnsi="Arial" w:cs="Arial"/>
        </w:rPr>
      </w:pPr>
    </w:p>
    <w:p w14:paraId="3F280568" w14:textId="77777777" w:rsidR="001B3D32" w:rsidRDefault="001B3D32" w:rsidP="001B3D32">
      <w:pPr>
        <w:jc w:val="center"/>
        <w:rPr>
          <w:rFonts w:ascii="Arial" w:hAnsi="Arial" w:cs="Arial"/>
          <w:sz w:val="28"/>
          <w:szCs w:val="28"/>
        </w:rPr>
      </w:pPr>
    </w:p>
    <w:p w14:paraId="7D642BA3" w14:textId="77777777" w:rsidR="001B3D32" w:rsidRDefault="001B3D32" w:rsidP="001B3D32">
      <w:pPr>
        <w:jc w:val="center"/>
        <w:rPr>
          <w:rFonts w:ascii="Arial" w:hAnsi="Arial" w:cs="Arial"/>
          <w:sz w:val="28"/>
          <w:szCs w:val="28"/>
        </w:rPr>
      </w:pPr>
    </w:p>
    <w:p w14:paraId="06EB09A6" w14:textId="77777777" w:rsidR="001B3D32" w:rsidRDefault="001B3D32" w:rsidP="001B3D32">
      <w:pPr>
        <w:jc w:val="center"/>
        <w:rPr>
          <w:rFonts w:ascii="Arial" w:hAnsi="Arial" w:cs="Arial"/>
          <w:sz w:val="28"/>
          <w:szCs w:val="28"/>
        </w:rPr>
      </w:pPr>
    </w:p>
    <w:p w14:paraId="3739BDAC" w14:textId="0D86730C" w:rsidR="001B3D32" w:rsidRDefault="001B3D32" w:rsidP="001B3D32">
      <w:pPr>
        <w:jc w:val="center"/>
        <w:rPr>
          <w:rFonts w:ascii="Arial" w:hAnsi="Arial" w:cs="Arial"/>
          <w:sz w:val="28"/>
          <w:szCs w:val="28"/>
        </w:rPr>
      </w:pPr>
    </w:p>
    <w:p w14:paraId="3D2E4DF9" w14:textId="77777777" w:rsidR="001B3D32" w:rsidRPr="002C2FA4" w:rsidRDefault="001B3D32" w:rsidP="009A72F8">
      <w:pPr>
        <w:jc w:val="center"/>
        <w:outlineLvl w:val="0"/>
        <w:rPr>
          <w:rFonts w:ascii="Arial" w:hAnsi="Arial" w:cs="Arial"/>
          <w:b/>
        </w:rPr>
      </w:pPr>
      <w:r w:rsidRPr="002C2FA4">
        <w:rPr>
          <w:rFonts w:ascii="Arial" w:hAnsi="Arial" w:cs="Arial"/>
          <w:b/>
        </w:rPr>
        <w:t>Notes on submission:</w:t>
      </w:r>
    </w:p>
    <w:p w14:paraId="74A433E8" w14:textId="745F3E10" w:rsidR="00E537EE" w:rsidRDefault="001B3D32" w:rsidP="00E537EE">
      <w:pPr>
        <w:jc w:val="center"/>
        <w:rPr>
          <w:rFonts w:ascii="Arial" w:hAnsi="Arial" w:cs="Arial"/>
        </w:rPr>
      </w:pPr>
      <w:r w:rsidRPr="002C2FA4">
        <w:rPr>
          <w:rFonts w:ascii="Arial" w:hAnsi="Arial" w:cs="Arial"/>
        </w:rPr>
        <w:t xml:space="preserve">Comments </w:t>
      </w:r>
      <w:r w:rsidR="00E537EE">
        <w:rPr>
          <w:rFonts w:ascii="Arial" w:hAnsi="Arial" w:cs="Arial"/>
        </w:rPr>
        <w:t>can</w:t>
      </w:r>
      <w:r w:rsidRPr="002C2FA4">
        <w:rPr>
          <w:rFonts w:ascii="Arial" w:hAnsi="Arial" w:cs="Arial"/>
        </w:rPr>
        <w:t xml:space="preserve"> be submitted </w:t>
      </w:r>
      <w:r w:rsidR="00E537EE">
        <w:rPr>
          <w:rFonts w:ascii="Arial" w:hAnsi="Arial" w:cs="Arial"/>
        </w:rPr>
        <w:t>three ways:</w:t>
      </w:r>
    </w:p>
    <w:p w14:paraId="25147428" w14:textId="70B38E6A" w:rsidR="00492112" w:rsidRDefault="00E537EE" w:rsidP="00492112">
      <w:pPr>
        <w:pStyle w:val="ListParagraph"/>
        <w:numPr>
          <w:ilvl w:val="0"/>
          <w:numId w:val="2"/>
        </w:numPr>
        <w:jc w:val="center"/>
        <w:rPr>
          <w:rFonts w:ascii="Arial" w:hAnsi="Arial" w:cs="Arial"/>
        </w:rPr>
      </w:pPr>
      <w:r w:rsidRPr="00E537EE">
        <w:rPr>
          <w:rFonts w:ascii="Arial" w:hAnsi="Arial" w:cs="Arial"/>
        </w:rPr>
        <w:t xml:space="preserve">Through </w:t>
      </w:r>
      <w:r w:rsidRPr="00BE5177">
        <w:rPr>
          <w:rFonts w:ascii="Arial" w:hAnsi="Arial" w:cs="Arial"/>
          <w:b/>
        </w:rPr>
        <w:t>email</w:t>
      </w:r>
      <w:r w:rsidRPr="00E537EE">
        <w:rPr>
          <w:rFonts w:ascii="Arial" w:hAnsi="Arial" w:cs="Arial"/>
        </w:rPr>
        <w:t xml:space="preserve"> to </w:t>
      </w:r>
      <w:hyperlink r:id="rId8" w:history="1">
        <w:r w:rsidRPr="00E537EE">
          <w:rPr>
            <w:rStyle w:val="Hyperlink"/>
            <w:rFonts w:ascii="Arial" w:hAnsi="Arial" w:cs="Arial"/>
          </w:rPr>
          <w:t>bcc.comments@dca.ca.gov</w:t>
        </w:r>
      </w:hyperlink>
    </w:p>
    <w:p w14:paraId="657FC8F8" w14:textId="4EAEDB00" w:rsidR="00E537EE" w:rsidRDefault="00E537EE" w:rsidP="00492112">
      <w:pPr>
        <w:pStyle w:val="ListParagraph"/>
        <w:jc w:val="center"/>
        <w:rPr>
          <w:rFonts w:ascii="Arial" w:hAnsi="Arial" w:cs="Arial"/>
        </w:rPr>
      </w:pPr>
      <w:r w:rsidRPr="00E537EE">
        <w:rPr>
          <w:rFonts w:ascii="Arial" w:hAnsi="Arial" w:cs="Arial"/>
        </w:rPr>
        <w:t>with subject line “BCC Proposed Text of Regulations”</w:t>
      </w:r>
    </w:p>
    <w:p w14:paraId="390E2E94" w14:textId="77777777" w:rsidR="00BE5177" w:rsidRPr="00BE5177" w:rsidRDefault="00BE5177" w:rsidP="00BE5177">
      <w:pPr>
        <w:pStyle w:val="ListParagraph"/>
        <w:rPr>
          <w:rFonts w:ascii="Arial" w:hAnsi="Arial" w:cs="Arial"/>
        </w:rPr>
      </w:pPr>
    </w:p>
    <w:p w14:paraId="5C859C7C" w14:textId="359FAA41" w:rsidR="00E537EE" w:rsidRDefault="00E537EE" w:rsidP="00E537EE">
      <w:pPr>
        <w:jc w:val="center"/>
        <w:rPr>
          <w:rFonts w:ascii="Arial" w:hAnsi="Arial" w:cs="Arial"/>
        </w:rPr>
      </w:pPr>
      <w:r>
        <w:rPr>
          <w:rFonts w:ascii="Arial" w:hAnsi="Arial" w:cs="Arial"/>
        </w:rPr>
        <w:t xml:space="preserve">2) Through </w:t>
      </w:r>
      <w:r w:rsidRPr="00BE5177">
        <w:rPr>
          <w:rFonts w:ascii="Arial" w:hAnsi="Arial" w:cs="Arial"/>
          <w:b/>
        </w:rPr>
        <w:t>physical mail</w:t>
      </w:r>
      <w:r>
        <w:rPr>
          <w:rFonts w:ascii="Arial" w:hAnsi="Arial" w:cs="Arial"/>
        </w:rPr>
        <w:t xml:space="preserve"> to </w:t>
      </w:r>
    </w:p>
    <w:p w14:paraId="5031A368" w14:textId="77777777" w:rsidR="00E537EE" w:rsidRPr="00E537EE" w:rsidRDefault="00E537EE" w:rsidP="00E537EE">
      <w:pPr>
        <w:jc w:val="center"/>
        <w:rPr>
          <w:rStyle w:val="A0"/>
          <w:rFonts w:ascii="Arial" w:hAnsi="Arial" w:cs="Arial"/>
          <w:sz w:val="24"/>
          <w:szCs w:val="24"/>
        </w:rPr>
      </w:pPr>
      <w:r w:rsidRPr="00E537EE">
        <w:rPr>
          <w:rStyle w:val="A0"/>
          <w:rFonts w:ascii="Arial" w:hAnsi="Arial" w:cs="Arial"/>
          <w:sz w:val="24"/>
          <w:szCs w:val="24"/>
        </w:rPr>
        <w:t xml:space="preserve">Lori Ajax, Chief </w:t>
      </w:r>
    </w:p>
    <w:p w14:paraId="6906139E" w14:textId="77777777" w:rsidR="00E537EE" w:rsidRPr="00E537EE" w:rsidRDefault="00E537EE" w:rsidP="00E537EE">
      <w:pPr>
        <w:jc w:val="center"/>
        <w:rPr>
          <w:rStyle w:val="A0"/>
          <w:rFonts w:ascii="Arial" w:hAnsi="Arial" w:cs="Arial"/>
          <w:sz w:val="24"/>
          <w:szCs w:val="24"/>
        </w:rPr>
      </w:pPr>
      <w:r w:rsidRPr="00E537EE">
        <w:rPr>
          <w:rStyle w:val="A0"/>
          <w:rFonts w:ascii="Arial" w:hAnsi="Arial" w:cs="Arial"/>
          <w:sz w:val="24"/>
          <w:szCs w:val="24"/>
        </w:rPr>
        <w:t xml:space="preserve">Bureau of Cannabis Control </w:t>
      </w:r>
    </w:p>
    <w:p w14:paraId="056CC697" w14:textId="77777777" w:rsidR="00E537EE" w:rsidRPr="00E537EE" w:rsidRDefault="00E537EE" w:rsidP="00E537EE">
      <w:pPr>
        <w:jc w:val="center"/>
        <w:rPr>
          <w:rStyle w:val="A0"/>
          <w:rFonts w:ascii="Arial" w:hAnsi="Arial" w:cs="Arial"/>
          <w:sz w:val="24"/>
          <w:szCs w:val="24"/>
        </w:rPr>
      </w:pPr>
      <w:r w:rsidRPr="00E537EE">
        <w:rPr>
          <w:rStyle w:val="A0"/>
          <w:rFonts w:ascii="Arial" w:hAnsi="Arial" w:cs="Arial"/>
          <w:sz w:val="24"/>
          <w:szCs w:val="24"/>
        </w:rPr>
        <w:t xml:space="preserve">P.O. Box 419106 </w:t>
      </w:r>
    </w:p>
    <w:p w14:paraId="3D071489" w14:textId="4B171FFA" w:rsidR="00E537EE" w:rsidRDefault="00E537EE" w:rsidP="00E537EE">
      <w:pPr>
        <w:jc w:val="center"/>
        <w:rPr>
          <w:rStyle w:val="A0"/>
          <w:rFonts w:ascii="Arial" w:hAnsi="Arial" w:cs="Arial"/>
          <w:sz w:val="24"/>
          <w:szCs w:val="24"/>
        </w:rPr>
      </w:pPr>
      <w:r w:rsidRPr="00E537EE">
        <w:rPr>
          <w:rStyle w:val="A0"/>
          <w:rFonts w:ascii="Arial" w:hAnsi="Arial" w:cs="Arial"/>
          <w:sz w:val="24"/>
          <w:szCs w:val="24"/>
        </w:rPr>
        <w:t>Rancho Cordova, CA 95741</w:t>
      </w:r>
    </w:p>
    <w:p w14:paraId="5132A63E" w14:textId="77777777" w:rsidR="00E537EE" w:rsidRPr="00E537EE" w:rsidRDefault="00E537EE" w:rsidP="00E537EE">
      <w:pPr>
        <w:jc w:val="center"/>
        <w:rPr>
          <w:rStyle w:val="A0"/>
          <w:rFonts w:ascii="Arial" w:hAnsi="Arial" w:cs="Arial"/>
          <w:sz w:val="24"/>
          <w:szCs w:val="24"/>
        </w:rPr>
      </w:pPr>
    </w:p>
    <w:p w14:paraId="49B475F1" w14:textId="77777777" w:rsidR="00BE5177" w:rsidRDefault="00E537EE" w:rsidP="00BE5177">
      <w:pPr>
        <w:jc w:val="center"/>
        <w:rPr>
          <w:rFonts w:ascii="Arial" w:hAnsi="Arial" w:cs="Arial"/>
        </w:rPr>
      </w:pPr>
      <w:r>
        <w:rPr>
          <w:rStyle w:val="A0"/>
          <w:rFonts w:ascii="Arial" w:hAnsi="Arial" w:cs="Arial"/>
          <w:sz w:val="24"/>
          <w:szCs w:val="24"/>
        </w:rPr>
        <w:t xml:space="preserve">3) </w:t>
      </w:r>
      <w:r w:rsidRPr="00E537EE">
        <w:rPr>
          <w:rStyle w:val="A0"/>
          <w:rFonts w:ascii="Arial" w:hAnsi="Arial" w:cs="Arial"/>
          <w:sz w:val="24"/>
          <w:szCs w:val="24"/>
        </w:rPr>
        <w:t xml:space="preserve">Or by </w:t>
      </w:r>
      <w:r w:rsidRPr="00BE5177">
        <w:rPr>
          <w:rStyle w:val="A0"/>
          <w:rFonts w:ascii="Arial" w:hAnsi="Arial" w:cs="Arial"/>
          <w:b/>
          <w:sz w:val="24"/>
          <w:szCs w:val="24"/>
        </w:rPr>
        <w:t>attending a public hearing</w:t>
      </w:r>
      <w:r w:rsidRPr="00E537EE">
        <w:rPr>
          <w:rStyle w:val="A0"/>
          <w:rFonts w:ascii="Arial" w:hAnsi="Arial" w:cs="Arial"/>
          <w:sz w:val="24"/>
          <w:szCs w:val="24"/>
        </w:rPr>
        <w:t>.</w:t>
      </w:r>
      <w:r w:rsidR="00BE5177">
        <w:rPr>
          <w:rFonts w:ascii="Arial" w:hAnsi="Arial" w:cs="Arial"/>
        </w:rPr>
        <w:t xml:space="preserve"> </w:t>
      </w:r>
    </w:p>
    <w:p w14:paraId="422AB1A6" w14:textId="5B8CF589" w:rsidR="00BE5177" w:rsidRDefault="00BE5177" w:rsidP="00BE5177">
      <w:pPr>
        <w:jc w:val="center"/>
        <w:rPr>
          <w:rFonts w:ascii="Arial" w:hAnsi="Arial" w:cs="Arial"/>
        </w:rPr>
      </w:pPr>
      <w:r>
        <w:rPr>
          <w:rFonts w:ascii="Arial" w:hAnsi="Arial" w:cs="Arial"/>
        </w:rPr>
        <w:t xml:space="preserve">Hearing schedule can be found on the BCC website at </w:t>
      </w:r>
      <w:hyperlink r:id="rId9" w:history="1">
        <w:r w:rsidRPr="00235610">
          <w:rPr>
            <w:rStyle w:val="Hyperlink"/>
            <w:rFonts w:ascii="Arial" w:hAnsi="Arial" w:cs="Arial"/>
          </w:rPr>
          <w:t>https://cannabis.ca.gov/cannabis-regulations/</w:t>
        </w:r>
      </w:hyperlink>
    </w:p>
    <w:p w14:paraId="5A4A3B75" w14:textId="77777777" w:rsidR="000D7431" w:rsidRDefault="000D7431" w:rsidP="00E537EE">
      <w:pPr>
        <w:jc w:val="center"/>
        <w:rPr>
          <w:rFonts w:ascii="Arial" w:hAnsi="Arial" w:cs="Arial"/>
        </w:rPr>
      </w:pPr>
    </w:p>
    <w:p w14:paraId="17BB8390" w14:textId="504AA289" w:rsidR="001B3D32" w:rsidRPr="002C2FA4" w:rsidRDefault="00E537EE" w:rsidP="00E537EE">
      <w:pPr>
        <w:jc w:val="center"/>
        <w:rPr>
          <w:rFonts w:ascii="Arial" w:hAnsi="Arial" w:cs="Arial"/>
          <w:b/>
        </w:rPr>
      </w:pPr>
      <w:r>
        <w:rPr>
          <w:rFonts w:ascii="Arial" w:hAnsi="Arial" w:cs="Arial"/>
        </w:rPr>
        <w:t>Mailed or emailed c</w:t>
      </w:r>
      <w:r w:rsidR="001B3D32" w:rsidRPr="002C2FA4">
        <w:rPr>
          <w:rFonts w:ascii="Arial" w:hAnsi="Arial" w:cs="Arial"/>
        </w:rPr>
        <w:t xml:space="preserve">omments are due </w:t>
      </w:r>
      <w:r w:rsidR="001B3D32">
        <w:rPr>
          <w:rFonts w:ascii="Arial" w:hAnsi="Arial" w:cs="Arial"/>
        </w:rPr>
        <w:t>by</w:t>
      </w:r>
      <w:r w:rsidR="001B3D32" w:rsidRPr="002C2FA4">
        <w:rPr>
          <w:rFonts w:ascii="Arial" w:hAnsi="Arial" w:cs="Arial"/>
        </w:rPr>
        <w:t xml:space="preserve"> </w:t>
      </w:r>
      <w:r>
        <w:rPr>
          <w:rFonts w:ascii="Arial" w:hAnsi="Arial" w:cs="Arial"/>
        </w:rPr>
        <w:t>5pm PST</w:t>
      </w:r>
      <w:r w:rsidR="001B3D32" w:rsidRPr="002C2FA4">
        <w:rPr>
          <w:rFonts w:ascii="Arial" w:hAnsi="Arial" w:cs="Arial"/>
        </w:rPr>
        <w:t xml:space="preserve"> on </w:t>
      </w:r>
      <w:r>
        <w:rPr>
          <w:rFonts w:ascii="Arial" w:hAnsi="Arial" w:cs="Arial"/>
          <w:b/>
        </w:rPr>
        <w:t>August</w:t>
      </w:r>
      <w:r w:rsidR="001B3D32" w:rsidRPr="002C2FA4">
        <w:rPr>
          <w:rFonts w:ascii="Arial" w:hAnsi="Arial" w:cs="Arial"/>
          <w:b/>
        </w:rPr>
        <w:t xml:space="preserve"> </w:t>
      </w:r>
      <w:r>
        <w:rPr>
          <w:rFonts w:ascii="Arial" w:hAnsi="Arial" w:cs="Arial"/>
          <w:b/>
        </w:rPr>
        <w:t>27, 2018</w:t>
      </w:r>
    </w:p>
    <w:p w14:paraId="279EAE03" w14:textId="77777777" w:rsidR="00E537EE" w:rsidRDefault="00E537EE" w:rsidP="00E537EE">
      <w:pPr>
        <w:jc w:val="center"/>
        <w:rPr>
          <w:rFonts w:ascii="Arial" w:hAnsi="Arial" w:cs="Arial"/>
        </w:rPr>
      </w:pPr>
    </w:p>
    <w:p w14:paraId="0FB2EB3B" w14:textId="048619F6" w:rsidR="001B3D32" w:rsidRPr="002C2FA4" w:rsidRDefault="001B3D32" w:rsidP="009A72F8">
      <w:pPr>
        <w:jc w:val="center"/>
        <w:outlineLvl w:val="0"/>
        <w:rPr>
          <w:rFonts w:ascii="Arial" w:hAnsi="Arial" w:cs="Arial"/>
        </w:rPr>
      </w:pPr>
      <w:r>
        <w:rPr>
          <w:rFonts w:ascii="Arial" w:hAnsi="Arial" w:cs="Arial"/>
        </w:rPr>
        <w:t xml:space="preserve">Highlighted, bracketed text </w:t>
      </w:r>
      <w:proofErr w:type="gramStart"/>
      <w:r>
        <w:rPr>
          <w:rFonts w:ascii="Arial" w:hAnsi="Arial" w:cs="Arial"/>
        </w:rPr>
        <w:t>indicate</w:t>
      </w:r>
      <w:proofErr w:type="gramEnd"/>
      <w:r>
        <w:rPr>
          <w:rFonts w:ascii="Arial" w:hAnsi="Arial" w:cs="Arial"/>
        </w:rPr>
        <w:t xml:space="preserve"> sections that need to be filled in by the sender</w:t>
      </w:r>
    </w:p>
    <w:p w14:paraId="5DF6E796" w14:textId="77777777" w:rsidR="001B3D32" w:rsidRPr="00DD43BA" w:rsidRDefault="001B3D32" w:rsidP="001B3D32">
      <w:pPr>
        <w:rPr>
          <w:rFonts w:ascii="Arial" w:hAnsi="Arial" w:cs="Arial"/>
          <w:sz w:val="28"/>
          <w:szCs w:val="28"/>
        </w:rPr>
      </w:pPr>
    </w:p>
    <w:p w14:paraId="641F4553" w14:textId="77777777" w:rsidR="001B3D32" w:rsidRDefault="001B3D32" w:rsidP="001B3D32">
      <w:pPr>
        <w:rPr>
          <w:rFonts w:ascii="Arial" w:hAnsi="Arial" w:cs="Arial"/>
        </w:rPr>
      </w:pPr>
      <w:r>
        <w:rPr>
          <w:rFonts w:ascii="Arial" w:hAnsi="Arial" w:cs="Arial"/>
        </w:rPr>
        <w:br w:type="page"/>
      </w:r>
    </w:p>
    <w:p w14:paraId="1EB36735" w14:textId="77777777" w:rsidR="001B3D32" w:rsidRPr="00D10959" w:rsidRDefault="001B3D32" w:rsidP="001B3D32">
      <w:pPr>
        <w:ind w:left="720"/>
        <w:jc w:val="right"/>
        <w:rPr>
          <w:rFonts w:ascii="Arial" w:hAnsi="Arial" w:cs="Arial"/>
        </w:rPr>
      </w:pPr>
      <w:r w:rsidRPr="009B33F5">
        <w:rPr>
          <w:rFonts w:ascii="Arial" w:hAnsi="Arial" w:cs="Arial"/>
          <w:highlight w:val="yellow"/>
        </w:rPr>
        <w:lastRenderedPageBreak/>
        <w:t>[INSERT DATE]</w:t>
      </w:r>
    </w:p>
    <w:p w14:paraId="638B1EDD" w14:textId="77777777" w:rsidR="001B3D32" w:rsidRPr="00F03390" w:rsidRDefault="001B3D32" w:rsidP="001B3D32">
      <w:pPr>
        <w:rPr>
          <w:rFonts w:asciiTheme="minorHAnsi" w:hAnsiTheme="minorHAnsi" w:cstheme="minorHAnsi"/>
          <w:color w:val="000000"/>
        </w:rPr>
      </w:pPr>
      <w:r w:rsidRPr="00D10959">
        <w:rPr>
          <w:rFonts w:ascii="Arial" w:hAnsi="Arial" w:cs="Arial"/>
          <w:color w:val="000000"/>
        </w:rPr>
        <w:br/>
      </w:r>
      <w:r w:rsidRPr="00F03390">
        <w:rPr>
          <w:rFonts w:asciiTheme="minorHAnsi" w:hAnsiTheme="minorHAnsi" w:cstheme="minorHAnsi"/>
          <w:color w:val="000000"/>
        </w:rPr>
        <w:t xml:space="preserve">To: </w:t>
      </w:r>
    </w:p>
    <w:p w14:paraId="3307B577" w14:textId="77777777" w:rsidR="00BE5177" w:rsidRPr="00F03390" w:rsidRDefault="00BE5177" w:rsidP="00BE5177">
      <w:pPr>
        <w:rPr>
          <w:rStyle w:val="A0"/>
          <w:rFonts w:asciiTheme="minorHAnsi" w:hAnsiTheme="minorHAnsi" w:cstheme="minorHAnsi"/>
          <w:sz w:val="24"/>
          <w:szCs w:val="24"/>
        </w:rPr>
      </w:pPr>
      <w:r w:rsidRPr="00F03390">
        <w:rPr>
          <w:rStyle w:val="A0"/>
          <w:rFonts w:asciiTheme="minorHAnsi" w:hAnsiTheme="minorHAnsi" w:cstheme="minorHAnsi"/>
          <w:sz w:val="24"/>
          <w:szCs w:val="24"/>
        </w:rPr>
        <w:t xml:space="preserve">Lori Ajax, Chief </w:t>
      </w:r>
    </w:p>
    <w:p w14:paraId="49C97697" w14:textId="77777777" w:rsidR="00BE5177" w:rsidRPr="00F03390" w:rsidRDefault="00BE5177" w:rsidP="00BE5177">
      <w:pPr>
        <w:rPr>
          <w:rStyle w:val="A0"/>
          <w:rFonts w:asciiTheme="minorHAnsi" w:hAnsiTheme="minorHAnsi" w:cstheme="minorHAnsi"/>
          <w:sz w:val="24"/>
          <w:szCs w:val="24"/>
        </w:rPr>
      </w:pPr>
      <w:r w:rsidRPr="00F03390">
        <w:rPr>
          <w:rStyle w:val="A0"/>
          <w:rFonts w:asciiTheme="minorHAnsi" w:hAnsiTheme="minorHAnsi" w:cstheme="minorHAnsi"/>
          <w:sz w:val="24"/>
          <w:szCs w:val="24"/>
        </w:rPr>
        <w:t xml:space="preserve">Bureau of Cannabis Control </w:t>
      </w:r>
    </w:p>
    <w:p w14:paraId="50D748F5" w14:textId="77777777" w:rsidR="00BE5177" w:rsidRPr="00F03390" w:rsidRDefault="00BE5177" w:rsidP="00BE5177">
      <w:pPr>
        <w:rPr>
          <w:rStyle w:val="A0"/>
          <w:rFonts w:asciiTheme="minorHAnsi" w:hAnsiTheme="minorHAnsi" w:cstheme="minorHAnsi"/>
          <w:sz w:val="24"/>
          <w:szCs w:val="24"/>
        </w:rPr>
      </w:pPr>
      <w:r w:rsidRPr="00F03390">
        <w:rPr>
          <w:rStyle w:val="A0"/>
          <w:rFonts w:asciiTheme="minorHAnsi" w:hAnsiTheme="minorHAnsi" w:cstheme="minorHAnsi"/>
          <w:sz w:val="24"/>
          <w:szCs w:val="24"/>
        </w:rPr>
        <w:t xml:space="preserve">P.O. Box 419106 </w:t>
      </w:r>
    </w:p>
    <w:p w14:paraId="6E16D17E" w14:textId="1F0E4D33" w:rsidR="00BE5177" w:rsidRPr="00F03390" w:rsidRDefault="00BE5177" w:rsidP="00BE5177">
      <w:pPr>
        <w:rPr>
          <w:rStyle w:val="A0"/>
          <w:rFonts w:asciiTheme="minorHAnsi" w:hAnsiTheme="minorHAnsi" w:cstheme="minorHAnsi"/>
          <w:sz w:val="24"/>
          <w:szCs w:val="24"/>
        </w:rPr>
      </w:pPr>
      <w:r w:rsidRPr="00F03390">
        <w:rPr>
          <w:rStyle w:val="A0"/>
          <w:rFonts w:asciiTheme="minorHAnsi" w:hAnsiTheme="minorHAnsi" w:cstheme="minorHAnsi"/>
          <w:sz w:val="24"/>
          <w:szCs w:val="24"/>
        </w:rPr>
        <w:t>Rancho Cordova, CA 95741</w:t>
      </w:r>
    </w:p>
    <w:p w14:paraId="74BC5BC6" w14:textId="77777777" w:rsidR="00F03390" w:rsidRPr="00F03390" w:rsidRDefault="00F03390" w:rsidP="00F03390">
      <w:pPr>
        <w:rPr>
          <w:rFonts w:asciiTheme="minorHAnsi" w:hAnsiTheme="minorHAnsi" w:cstheme="minorHAnsi"/>
        </w:rPr>
      </w:pPr>
      <w:proofErr w:type="spellStart"/>
      <w:proofErr w:type="gramStart"/>
      <w:r w:rsidRPr="00F03390">
        <w:rPr>
          <w:rFonts w:asciiTheme="minorHAnsi" w:hAnsiTheme="minorHAnsi" w:cstheme="minorHAnsi"/>
        </w:rPr>
        <w:t>bcc.comments</w:t>
      </w:r>
      <w:proofErr w:type="spellEnd"/>
      <w:proofErr w:type="gramEnd"/>
      <w:r w:rsidRPr="00F03390">
        <w:rPr>
          <w:rFonts w:asciiTheme="minorHAnsi" w:hAnsiTheme="minorHAnsi" w:cstheme="minorHAnsi"/>
        </w:rPr>
        <w:t>@ dca.ca.gov.</w:t>
      </w:r>
    </w:p>
    <w:p w14:paraId="02B452C5" w14:textId="77777777" w:rsidR="00F03390" w:rsidRDefault="00F03390" w:rsidP="00BE5177">
      <w:pPr>
        <w:rPr>
          <w:rStyle w:val="A0"/>
          <w:rFonts w:ascii="Arial" w:hAnsi="Arial" w:cs="Arial"/>
          <w:sz w:val="24"/>
          <w:szCs w:val="24"/>
        </w:rPr>
      </w:pPr>
    </w:p>
    <w:p w14:paraId="6B2BF07B" w14:textId="74258A79" w:rsidR="001B3D32" w:rsidRPr="00D10959" w:rsidRDefault="001B3D32" w:rsidP="001B3D32">
      <w:pPr>
        <w:rPr>
          <w:rFonts w:ascii="Arial" w:hAnsi="Arial" w:cs="Arial"/>
        </w:rPr>
      </w:pPr>
    </w:p>
    <w:p w14:paraId="0FB5839E" w14:textId="77777777" w:rsidR="001B3D32" w:rsidRPr="00D10959" w:rsidRDefault="001B3D32" w:rsidP="001B3D32">
      <w:pPr>
        <w:rPr>
          <w:rFonts w:ascii="Arial" w:hAnsi="Arial" w:cs="Arial"/>
          <w:b/>
        </w:rPr>
      </w:pPr>
    </w:p>
    <w:p w14:paraId="4186EB49" w14:textId="1015142F" w:rsidR="001B3D32" w:rsidRPr="00D10959" w:rsidRDefault="001B3D32" w:rsidP="009A72F8">
      <w:pPr>
        <w:outlineLvl w:val="0"/>
        <w:rPr>
          <w:rFonts w:ascii="Arial" w:hAnsi="Arial" w:cs="Arial"/>
          <w:b/>
        </w:rPr>
      </w:pPr>
      <w:r w:rsidRPr="00D10959">
        <w:rPr>
          <w:rFonts w:ascii="Arial" w:hAnsi="Arial" w:cs="Arial"/>
          <w:b/>
        </w:rPr>
        <w:t xml:space="preserve">Comment on </w:t>
      </w:r>
      <w:r w:rsidR="00BE5177">
        <w:rPr>
          <w:rFonts w:ascii="Arial" w:hAnsi="Arial" w:cs="Arial"/>
          <w:b/>
        </w:rPr>
        <w:t>Bureau of Cannabis Control Proposed Text of Regulations</w:t>
      </w:r>
    </w:p>
    <w:p w14:paraId="6FFD33C5" w14:textId="77777777" w:rsidR="001B3D32" w:rsidRPr="00D10959" w:rsidRDefault="001B3D32" w:rsidP="001B3D32">
      <w:pPr>
        <w:rPr>
          <w:rFonts w:ascii="Arial" w:hAnsi="Arial" w:cs="Arial"/>
        </w:rPr>
      </w:pPr>
      <w:r w:rsidRPr="00D10959">
        <w:rPr>
          <w:rFonts w:ascii="Arial" w:hAnsi="Arial" w:cs="Arial"/>
          <w:b/>
        </w:rPr>
        <w:t xml:space="preserve">CALIFORNIA CODE OF REGULATIONS TITLE 16, DIVISION 42 </w:t>
      </w:r>
      <w:r w:rsidRPr="00D10959">
        <w:rPr>
          <w:rFonts w:ascii="Arial" w:hAnsi="Arial" w:cs="Arial"/>
          <w:b/>
        </w:rPr>
        <w:br/>
        <w:t>BUREAU OF CANNABIS CONTROL</w:t>
      </w:r>
      <w:r w:rsidRPr="00D10959">
        <w:rPr>
          <w:rFonts w:ascii="Arial" w:hAnsi="Arial" w:cs="Arial"/>
        </w:rPr>
        <w:br/>
      </w:r>
    </w:p>
    <w:p w14:paraId="5FB80E1E" w14:textId="77777777" w:rsidR="001B3D32" w:rsidRPr="003E69FD" w:rsidRDefault="001B3D32" w:rsidP="009A72F8">
      <w:pPr>
        <w:jc w:val="center"/>
        <w:outlineLvl w:val="0"/>
        <w:rPr>
          <w:rFonts w:ascii="Arial" w:hAnsi="Arial" w:cs="Arial"/>
          <w:b/>
          <w:sz w:val="28"/>
          <w:szCs w:val="28"/>
        </w:rPr>
      </w:pPr>
      <w:r w:rsidRPr="003E69FD">
        <w:rPr>
          <w:rFonts w:ascii="Arial" w:hAnsi="Arial" w:cs="Arial"/>
          <w:b/>
          <w:sz w:val="28"/>
          <w:szCs w:val="28"/>
        </w:rPr>
        <w:t>Comment Summary:</w:t>
      </w:r>
    </w:p>
    <w:p w14:paraId="330270FD" w14:textId="336B7005" w:rsidR="001B3D32" w:rsidRDefault="001B3D32" w:rsidP="001B3D32">
      <w:pPr>
        <w:jc w:val="both"/>
        <w:rPr>
          <w:rFonts w:ascii="Arial" w:hAnsi="Arial" w:cs="Arial"/>
          <w:b/>
        </w:rPr>
      </w:pPr>
    </w:p>
    <w:p w14:paraId="7FA15FC1" w14:textId="589227C2" w:rsidR="0067092E" w:rsidRPr="00D10959" w:rsidRDefault="00F03390" w:rsidP="0067092E">
      <w:pPr>
        <w:jc w:val="both"/>
        <w:rPr>
          <w:rFonts w:ascii="Arial" w:hAnsi="Arial" w:cs="Arial"/>
          <w:b/>
        </w:rPr>
      </w:pPr>
      <w:r>
        <w:rPr>
          <w:rFonts w:ascii="Arial" w:hAnsi="Arial" w:cs="Arial"/>
          <w:b/>
        </w:rPr>
        <w:t xml:space="preserve">WHILE THE REGULATIONS CONTAIN CERTAIN IMPORTANT ADVANCES SUCH AS REQUIRING SPECIALIZATION OF CANNABIS BUSINESSES, </w:t>
      </w:r>
      <w:r w:rsidR="0067092E" w:rsidRPr="00D10959">
        <w:rPr>
          <w:rFonts w:ascii="Arial" w:hAnsi="Arial" w:cs="Arial"/>
          <w:b/>
        </w:rPr>
        <w:t>BCC’S PROPOSED REGULATION</w:t>
      </w:r>
      <w:r w:rsidR="0067092E">
        <w:rPr>
          <w:rFonts w:ascii="Arial" w:hAnsi="Arial" w:cs="Arial"/>
          <w:b/>
        </w:rPr>
        <w:t>S</w:t>
      </w:r>
      <w:r w:rsidR="0067092E" w:rsidRPr="00D10959">
        <w:rPr>
          <w:rFonts w:ascii="Arial" w:hAnsi="Arial" w:cs="Arial"/>
          <w:b/>
        </w:rPr>
        <w:t xml:space="preserve"> AS WRITTEN </w:t>
      </w:r>
      <w:r>
        <w:rPr>
          <w:rFonts w:ascii="Arial" w:hAnsi="Arial" w:cs="Arial"/>
          <w:b/>
        </w:rPr>
        <w:t xml:space="preserve">CONTINUE TO </w:t>
      </w:r>
      <w:r w:rsidR="0067092E" w:rsidRPr="00D10959">
        <w:rPr>
          <w:rFonts w:ascii="Arial" w:hAnsi="Arial" w:cs="Arial"/>
          <w:b/>
        </w:rPr>
        <w:t xml:space="preserve">PERMIT EXCESSIVE LICENSING AND DENSITY OF RETAILERS, </w:t>
      </w:r>
      <w:r w:rsidR="0067092E" w:rsidRPr="00BD567B">
        <w:rPr>
          <w:rFonts w:ascii="Arial" w:hAnsi="Arial" w:cs="Arial"/>
          <w:b/>
        </w:rPr>
        <w:t xml:space="preserve">GIVES NO CONSIDERATION TO EQUITY IN LICENSING, </w:t>
      </w:r>
      <w:r w:rsidR="005244C5" w:rsidRPr="00BD567B">
        <w:rPr>
          <w:rFonts w:ascii="Arial" w:hAnsi="Arial" w:cs="Arial"/>
          <w:b/>
        </w:rPr>
        <w:t>FALLS SHORT OF</w:t>
      </w:r>
      <w:r w:rsidR="0067092E" w:rsidRPr="00BD567B">
        <w:rPr>
          <w:rFonts w:ascii="Arial" w:hAnsi="Arial" w:cs="Arial"/>
          <w:b/>
        </w:rPr>
        <w:t xml:space="preserve"> </w:t>
      </w:r>
      <w:r w:rsidR="005244C5" w:rsidRPr="00BD567B">
        <w:rPr>
          <w:rFonts w:ascii="Arial" w:hAnsi="Arial" w:cs="Arial"/>
          <w:b/>
        </w:rPr>
        <w:t>EFFECTIVELY C</w:t>
      </w:r>
      <w:r w:rsidR="0067092E" w:rsidRPr="00BD567B">
        <w:rPr>
          <w:rFonts w:ascii="Arial" w:hAnsi="Arial" w:cs="Arial"/>
          <w:b/>
        </w:rPr>
        <w:t>ONSTRAIN</w:t>
      </w:r>
      <w:r w:rsidR="005244C5" w:rsidRPr="00BD567B">
        <w:rPr>
          <w:rFonts w:ascii="Arial" w:hAnsi="Arial" w:cs="Arial"/>
          <w:b/>
        </w:rPr>
        <w:t>ING</w:t>
      </w:r>
      <w:r w:rsidR="0067092E" w:rsidRPr="00BD567B">
        <w:rPr>
          <w:rFonts w:ascii="Arial" w:hAnsi="Arial" w:cs="Arial"/>
          <w:b/>
        </w:rPr>
        <w:t xml:space="preserve"> HARMFUL MARKETING PRACTICES, AND PROPOSES EXCESSIVE DAILY SALES LIMITS, ALL OF WHICH IMPOSE UNNECESSARY RISKS ON THE HEALTH OF CALIFORNIANS. TO AVOID IRREVERSIBLE HARM, AN IMMEDIATE CAP SHOULD BE PLACED ON NUMBER OF RETAILERS LICENSED BY THE STATE AND PROVISIONS FOR GREATER EQUITY INS</w:t>
      </w:r>
      <w:r w:rsidR="0067092E">
        <w:rPr>
          <w:rFonts w:ascii="Arial" w:hAnsi="Arial" w:cs="Arial"/>
          <w:b/>
        </w:rPr>
        <w:t xml:space="preserve">TITUTED </w:t>
      </w:r>
      <w:r w:rsidR="0067092E" w:rsidRPr="00D10959">
        <w:rPr>
          <w:rFonts w:ascii="Arial" w:hAnsi="Arial" w:cs="Arial"/>
          <w:b/>
        </w:rPr>
        <w:t xml:space="preserve">UNDER THE </w:t>
      </w:r>
      <w:r w:rsidR="005244C5">
        <w:rPr>
          <w:rFonts w:ascii="Arial" w:hAnsi="Arial" w:cs="Arial"/>
          <w:b/>
        </w:rPr>
        <w:t>PROPOSED</w:t>
      </w:r>
      <w:r w:rsidR="0067092E" w:rsidRPr="00D10959">
        <w:rPr>
          <w:rFonts w:ascii="Arial" w:hAnsi="Arial" w:cs="Arial"/>
          <w:b/>
        </w:rPr>
        <w:t xml:space="preserve"> REGULATION</w:t>
      </w:r>
      <w:r w:rsidR="005244C5">
        <w:rPr>
          <w:rFonts w:ascii="Arial" w:hAnsi="Arial" w:cs="Arial"/>
          <w:b/>
        </w:rPr>
        <w:t>S</w:t>
      </w:r>
      <w:r w:rsidR="0067092E">
        <w:rPr>
          <w:rFonts w:ascii="Arial" w:hAnsi="Arial" w:cs="Arial"/>
          <w:b/>
        </w:rPr>
        <w:t xml:space="preserve">. </w:t>
      </w:r>
    </w:p>
    <w:p w14:paraId="3BB53EDE" w14:textId="33399654" w:rsidR="00492112" w:rsidRDefault="00492112" w:rsidP="001B3D32">
      <w:pPr>
        <w:jc w:val="both"/>
        <w:rPr>
          <w:rFonts w:ascii="Arial" w:hAnsi="Arial" w:cs="Arial"/>
          <w:b/>
        </w:rPr>
      </w:pPr>
    </w:p>
    <w:p w14:paraId="4348D986" w14:textId="5CCDCEAE" w:rsidR="00492112" w:rsidRDefault="00492112" w:rsidP="001B3D32">
      <w:pPr>
        <w:jc w:val="both"/>
        <w:rPr>
          <w:rFonts w:ascii="Arial" w:hAnsi="Arial" w:cs="Arial"/>
          <w:b/>
        </w:rPr>
      </w:pPr>
    </w:p>
    <w:p w14:paraId="5E7EE3B8" w14:textId="77777777" w:rsidR="00492112" w:rsidRPr="00D10959" w:rsidRDefault="00492112" w:rsidP="001B3D32">
      <w:pPr>
        <w:jc w:val="both"/>
        <w:rPr>
          <w:rFonts w:ascii="Arial" w:hAnsi="Arial" w:cs="Arial"/>
          <w:b/>
        </w:rPr>
      </w:pPr>
    </w:p>
    <w:p w14:paraId="40757373" w14:textId="13B416EF" w:rsidR="001B3D32" w:rsidRDefault="001B3D32" w:rsidP="001B3D32">
      <w:pPr>
        <w:jc w:val="both"/>
        <w:rPr>
          <w:rFonts w:ascii="Arial" w:hAnsi="Arial" w:cs="Arial"/>
          <w:b/>
        </w:rPr>
      </w:pPr>
    </w:p>
    <w:p w14:paraId="74DADEF0" w14:textId="77777777" w:rsidR="001B3D32" w:rsidRPr="003E69FD" w:rsidRDefault="001B3D32" w:rsidP="009A72F8">
      <w:pPr>
        <w:jc w:val="center"/>
        <w:outlineLvl w:val="0"/>
        <w:rPr>
          <w:rFonts w:ascii="Arial" w:hAnsi="Arial" w:cs="Arial"/>
          <w:b/>
          <w:sz w:val="28"/>
          <w:szCs w:val="28"/>
        </w:rPr>
      </w:pPr>
      <w:r w:rsidRPr="003E69FD">
        <w:rPr>
          <w:rFonts w:ascii="Arial" w:hAnsi="Arial" w:cs="Arial"/>
          <w:b/>
          <w:sz w:val="28"/>
          <w:szCs w:val="28"/>
        </w:rPr>
        <w:t>About the Submitting Organization:</w:t>
      </w:r>
    </w:p>
    <w:p w14:paraId="0BA78711" w14:textId="77777777" w:rsidR="001B3D32" w:rsidRPr="00D10959" w:rsidRDefault="001B3D32" w:rsidP="001B3D32">
      <w:pPr>
        <w:jc w:val="both"/>
        <w:rPr>
          <w:rFonts w:ascii="Arial" w:hAnsi="Arial" w:cs="Arial"/>
          <w:b/>
        </w:rPr>
      </w:pPr>
    </w:p>
    <w:p w14:paraId="34F53D9D" w14:textId="77777777" w:rsidR="001B3D32" w:rsidRPr="009B33F5" w:rsidRDefault="001B3D32" w:rsidP="001B3D32">
      <w:pPr>
        <w:jc w:val="both"/>
        <w:rPr>
          <w:rFonts w:ascii="Arial" w:hAnsi="Arial" w:cs="Arial"/>
        </w:rPr>
      </w:pPr>
      <w:r w:rsidRPr="009B33F5">
        <w:rPr>
          <w:rFonts w:ascii="Arial" w:hAnsi="Arial" w:cs="Arial"/>
          <w:highlight w:val="yellow"/>
        </w:rPr>
        <w:t>[INSERT ORGANIZATION NAME AND DESCRIPTION OF WORK]</w:t>
      </w:r>
    </w:p>
    <w:p w14:paraId="3F4990D8" w14:textId="77777777" w:rsidR="001B3D32" w:rsidRDefault="001B3D32" w:rsidP="001B3D32">
      <w:pPr>
        <w:rPr>
          <w:rFonts w:ascii="Arial" w:hAnsi="Arial" w:cs="Arial"/>
        </w:rPr>
      </w:pPr>
      <w:r>
        <w:rPr>
          <w:rFonts w:ascii="Arial" w:hAnsi="Arial" w:cs="Arial"/>
        </w:rPr>
        <w:br w:type="page"/>
      </w:r>
    </w:p>
    <w:p w14:paraId="591767AD" w14:textId="77777777" w:rsidR="001B3D32" w:rsidRDefault="001B3D32" w:rsidP="009A72F8">
      <w:pPr>
        <w:ind w:right="-720"/>
        <w:outlineLvl w:val="0"/>
        <w:rPr>
          <w:rFonts w:ascii="Arial" w:hAnsi="Arial" w:cs="Arial"/>
          <w:b/>
          <w:sz w:val="28"/>
          <w:szCs w:val="28"/>
        </w:rPr>
      </w:pPr>
      <w:r w:rsidRPr="003E69FD">
        <w:rPr>
          <w:rFonts w:ascii="Arial" w:hAnsi="Arial" w:cs="Arial"/>
          <w:b/>
          <w:sz w:val="28"/>
          <w:szCs w:val="28"/>
        </w:rPr>
        <w:lastRenderedPageBreak/>
        <w:t>General Comments:</w:t>
      </w:r>
    </w:p>
    <w:p w14:paraId="1E855F8A" w14:textId="09D6E8EB" w:rsidR="001B3D32" w:rsidRDefault="008B04E4" w:rsidP="000269A1">
      <w:pPr>
        <w:tabs>
          <w:tab w:val="left" w:pos="360"/>
        </w:tabs>
        <w:ind w:right="-720"/>
        <w:jc w:val="both"/>
        <w:rPr>
          <w:rFonts w:ascii="Arial" w:hAnsi="Arial" w:cs="Arial"/>
          <w:b/>
          <w:sz w:val="28"/>
          <w:szCs w:val="28"/>
        </w:rPr>
      </w:pPr>
      <w:r>
        <w:rPr>
          <w:rFonts w:ascii="Arial" w:hAnsi="Arial" w:cs="Arial"/>
        </w:rPr>
        <w:t>T</w:t>
      </w:r>
      <w:r w:rsidRPr="00D10959">
        <w:rPr>
          <w:rFonts w:ascii="Arial" w:hAnsi="Arial" w:cs="Arial"/>
        </w:rPr>
        <w:t xml:space="preserve">he creation and government endorsement of a legal cannabis industry that will span both medical and recreational use </w:t>
      </w:r>
      <w:r w:rsidRPr="006C65C5">
        <w:rPr>
          <w:rFonts w:ascii="Arial" w:hAnsi="Arial" w:cs="Arial"/>
          <w:b/>
        </w:rPr>
        <w:t>presents risks that such an industry may seek to drive up demand, exploit abusive use to increase profit, and exert powerful influence over the regulatory environment</w:t>
      </w:r>
      <w:r w:rsidRPr="00D10959">
        <w:rPr>
          <w:rFonts w:ascii="Arial" w:hAnsi="Arial" w:cs="Arial"/>
        </w:rPr>
        <w:t xml:space="preserve"> as other industries have done, most notably tobacco, or that such other industries may seek to enter and dominate the new cannabis markets.</w:t>
      </w:r>
    </w:p>
    <w:p w14:paraId="772ED185" w14:textId="71ED8E4E" w:rsidR="0054635B" w:rsidRDefault="0054635B" w:rsidP="000269A1">
      <w:pPr>
        <w:tabs>
          <w:tab w:val="left" w:pos="360"/>
        </w:tabs>
        <w:ind w:right="-720"/>
        <w:jc w:val="both"/>
        <w:rPr>
          <w:rFonts w:ascii="Arial" w:hAnsi="Arial" w:cs="Arial"/>
        </w:rPr>
      </w:pPr>
    </w:p>
    <w:p w14:paraId="52C27858" w14:textId="73A541FE" w:rsidR="008B04E4" w:rsidRPr="00D10959" w:rsidRDefault="008B04E4" w:rsidP="000269A1">
      <w:pPr>
        <w:ind w:right="-720"/>
        <w:jc w:val="both"/>
        <w:rPr>
          <w:rFonts w:ascii="Arial" w:hAnsi="Arial" w:cs="Arial"/>
        </w:rPr>
      </w:pPr>
      <w:r w:rsidRPr="00D10959">
        <w:rPr>
          <w:rFonts w:ascii="Arial" w:hAnsi="Arial" w:cs="Arial"/>
        </w:rPr>
        <w:t>Ample evidence exists which supports a measured precautionary approach.</w:t>
      </w:r>
      <w:r w:rsidRPr="00D10959">
        <w:rPr>
          <w:rStyle w:val="FootnoteReference"/>
          <w:rFonts w:ascii="Arial" w:hAnsi="Arial" w:cs="Arial"/>
        </w:rPr>
        <w:footnoteReference w:id="1"/>
      </w:r>
      <w:r w:rsidRPr="00D10959">
        <w:rPr>
          <w:rFonts w:ascii="Arial" w:hAnsi="Arial" w:cs="Arial"/>
        </w:rPr>
        <w:t xml:space="preserve"> The 2017 National Academies of Sciences, Engineering and Medicine report </w:t>
      </w:r>
      <w:r w:rsidRPr="00D10959">
        <w:rPr>
          <w:rFonts w:ascii="Arial" w:hAnsi="Arial" w:cs="Arial"/>
          <w:i/>
        </w:rPr>
        <w:t xml:space="preserve">The Health Effects of Cannabis and Cannabinoids </w:t>
      </w:r>
      <w:r w:rsidRPr="00D10959">
        <w:rPr>
          <w:rFonts w:ascii="Arial" w:hAnsi="Arial" w:cs="Arial"/>
        </w:rPr>
        <w:t>found “substantial evidence” of association with development of substance use disorders when use begins early, with schizophrenia and other psychoses, with low birth weight when used during pregnancy, increased respiratory problems and motor vehicle crashes.</w:t>
      </w:r>
      <w:r>
        <w:rPr>
          <w:rFonts w:ascii="Arial" w:hAnsi="Arial" w:cs="Arial"/>
          <w:vertAlign w:val="superscript"/>
        </w:rPr>
        <w:t>1</w:t>
      </w:r>
      <w:r w:rsidRPr="00D10959">
        <w:rPr>
          <w:rFonts w:ascii="Arial" w:hAnsi="Arial" w:cs="Arial"/>
        </w:rPr>
        <w:t xml:space="preserve"> Cannabis smoking has been associated with respiratory health harms, stroke, and cardiovascular disease as well as secondhand smoke risks</w:t>
      </w:r>
      <w:r>
        <w:rPr>
          <w:rFonts w:ascii="Arial" w:hAnsi="Arial" w:cs="Arial"/>
        </w:rPr>
        <w:t>.</w:t>
      </w:r>
      <w:r>
        <w:rPr>
          <w:rFonts w:ascii="Arial" w:hAnsi="Arial" w:cs="Arial"/>
          <w:vertAlign w:val="superscript"/>
        </w:rPr>
        <w:t>1</w:t>
      </w:r>
      <w:r w:rsidRPr="00D10959">
        <w:rPr>
          <w:rFonts w:ascii="Arial" w:hAnsi="Arial" w:cs="Arial"/>
          <w:vertAlign w:val="superscript"/>
        </w:rPr>
        <w:t>,</w:t>
      </w:r>
      <w:r w:rsidRPr="00D10959">
        <w:rPr>
          <w:rStyle w:val="FootnoteReference"/>
          <w:rFonts w:ascii="Arial" w:hAnsi="Arial" w:cs="Arial"/>
        </w:rPr>
        <w:footnoteReference w:id="2"/>
      </w:r>
      <w:r w:rsidRPr="00D10959">
        <w:rPr>
          <w:rFonts w:ascii="Arial" w:hAnsi="Arial" w:cs="Arial"/>
          <w:vertAlign w:val="superscript"/>
        </w:rPr>
        <w:t>,</w:t>
      </w:r>
      <w:r w:rsidRPr="00D10959">
        <w:rPr>
          <w:rStyle w:val="FootnoteReference"/>
          <w:rFonts w:ascii="Arial" w:hAnsi="Arial" w:cs="Arial"/>
        </w:rPr>
        <w:footnoteReference w:id="3"/>
      </w:r>
      <w:r w:rsidRPr="00D10959">
        <w:rPr>
          <w:rFonts w:ascii="Arial" w:hAnsi="Arial" w:cs="Arial"/>
          <w:vertAlign w:val="superscript"/>
        </w:rPr>
        <w:t>,</w:t>
      </w:r>
      <w:r w:rsidRPr="00D10959">
        <w:rPr>
          <w:rStyle w:val="FootnoteReference"/>
          <w:rFonts w:ascii="Arial" w:hAnsi="Arial" w:cs="Arial"/>
        </w:rPr>
        <w:footnoteReference w:id="4"/>
      </w:r>
      <w:r w:rsidRPr="00D10959">
        <w:rPr>
          <w:rFonts w:ascii="Arial" w:hAnsi="Arial" w:cs="Arial"/>
        </w:rPr>
        <w:t xml:space="preserve"> </w:t>
      </w:r>
      <w:r>
        <w:rPr>
          <w:rFonts w:ascii="Arial" w:hAnsi="Arial" w:cs="Arial"/>
        </w:rPr>
        <w:t xml:space="preserve">Cannabis smoke shares a similar toxicity profile to </w:t>
      </w:r>
      <w:r w:rsidRPr="00D10959">
        <w:rPr>
          <w:rFonts w:ascii="Arial" w:hAnsi="Arial" w:cs="Arial"/>
        </w:rPr>
        <w:t>tobacco smoke,</w:t>
      </w:r>
      <w:r w:rsidRPr="00D10959">
        <w:rPr>
          <w:rStyle w:val="FootnoteReference"/>
          <w:rFonts w:ascii="Arial" w:hAnsi="Arial" w:cs="Arial"/>
        </w:rPr>
        <w:footnoteReference w:id="5"/>
      </w:r>
      <w:r w:rsidRPr="00D10959">
        <w:rPr>
          <w:rFonts w:ascii="Arial" w:hAnsi="Arial" w:cs="Arial"/>
        </w:rPr>
        <w:t xml:space="preserve"> and California has identified cannabis smoke as a known human carcinogen since 2009.</w:t>
      </w:r>
      <w:r w:rsidRPr="00D10959">
        <w:rPr>
          <w:rStyle w:val="FootnoteReference"/>
          <w:rFonts w:ascii="Arial" w:hAnsi="Arial" w:cs="Arial"/>
        </w:rPr>
        <w:footnoteReference w:id="6"/>
      </w:r>
      <w:r w:rsidRPr="009B4B85">
        <w:rPr>
          <w:rFonts w:ascii="Arial" w:hAnsi="Arial" w:cs="Arial"/>
          <w:vertAlign w:val="superscript"/>
        </w:rPr>
        <w:t>,</w:t>
      </w:r>
      <w:r w:rsidRPr="00D10959">
        <w:rPr>
          <w:rStyle w:val="FootnoteReference"/>
          <w:rFonts w:ascii="Arial" w:hAnsi="Arial" w:cs="Arial"/>
        </w:rPr>
        <w:footnoteReference w:id="7"/>
      </w:r>
      <w:r w:rsidRPr="00D10959">
        <w:rPr>
          <w:rFonts w:ascii="Arial" w:hAnsi="Arial" w:cs="Arial"/>
        </w:rPr>
        <w:t xml:space="preserve"> </w:t>
      </w:r>
      <w:r w:rsidRPr="00D10959">
        <w:rPr>
          <w:rFonts w:ascii="Arial" w:hAnsi="Arial" w:cs="Arial"/>
          <w:b/>
        </w:rPr>
        <w:t>Daily cannabis use by youth is associated with more than halving high school graduation rates.</w:t>
      </w:r>
      <w:r w:rsidRPr="00D10959">
        <w:rPr>
          <w:rStyle w:val="FootnoteReference"/>
          <w:rFonts w:ascii="Arial" w:hAnsi="Arial" w:cs="Arial"/>
          <w:b/>
        </w:rPr>
        <w:footnoteReference w:id="8"/>
      </w:r>
      <w:r w:rsidRPr="00D10959">
        <w:rPr>
          <w:rFonts w:ascii="Arial" w:hAnsi="Arial" w:cs="Arial"/>
          <w:b/>
        </w:rPr>
        <w:t xml:space="preserve"> </w:t>
      </w:r>
      <w:r w:rsidRPr="00D10959">
        <w:rPr>
          <w:rFonts w:ascii="Arial" w:hAnsi="Arial" w:cs="Arial"/>
        </w:rPr>
        <w:t>Cannabis consumption has also been associated with altered or decreased brain function among adolescents,</w:t>
      </w:r>
      <w:r w:rsidRPr="00D10959">
        <w:rPr>
          <w:rStyle w:val="FootnoteReference"/>
          <w:rFonts w:ascii="Arial" w:hAnsi="Arial" w:cs="Arial"/>
        </w:rPr>
        <w:footnoteReference w:id="9"/>
      </w:r>
      <w:r w:rsidRPr="00D10959">
        <w:rPr>
          <w:rFonts w:ascii="Arial" w:hAnsi="Arial" w:cs="Arial"/>
        </w:rPr>
        <w:t xml:space="preserve"> cyclic vomiting syndrome,</w:t>
      </w:r>
      <w:r w:rsidRPr="00D10959">
        <w:rPr>
          <w:rStyle w:val="FootnoteReference"/>
          <w:rFonts w:ascii="Arial" w:hAnsi="Arial" w:cs="Arial"/>
        </w:rPr>
        <w:footnoteReference w:id="10"/>
      </w:r>
      <w:r w:rsidRPr="00D10959">
        <w:rPr>
          <w:rFonts w:ascii="Arial" w:hAnsi="Arial" w:cs="Arial"/>
        </w:rPr>
        <w:t xml:space="preserve"> and manifestation of psychotic disorders.</w:t>
      </w:r>
      <w:r w:rsidRPr="00D10959">
        <w:rPr>
          <w:rStyle w:val="FootnoteReference"/>
          <w:rFonts w:ascii="Arial" w:hAnsi="Arial" w:cs="Arial"/>
        </w:rPr>
        <w:footnoteReference w:id="11"/>
      </w:r>
      <w:r>
        <w:rPr>
          <w:rFonts w:ascii="Arial" w:hAnsi="Arial" w:cs="Arial"/>
        </w:rPr>
        <w:t xml:space="preserve"> </w:t>
      </w:r>
      <w:r w:rsidRPr="00D10959">
        <w:rPr>
          <w:rFonts w:ascii="Arial" w:hAnsi="Arial" w:cs="Arial"/>
        </w:rPr>
        <w:t>Even secondhand exposure to marijuana smoke has negative cardiovascular effects; a recent study in rats found that one minute of exposure impaired normal functioning of arteries (endothelial function) for</w:t>
      </w:r>
      <w:r w:rsidRPr="008B04E4">
        <w:rPr>
          <w:rFonts w:ascii="Arial" w:hAnsi="Arial" w:cs="Arial"/>
        </w:rPr>
        <w:t xml:space="preserve"> </w:t>
      </w:r>
      <w:r w:rsidRPr="00D10959">
        <w:rPr>
          <w:rFonts w:ascii="Arial" w:hAnsi="Arial" w:cs="Arial"/>
        </w:rPr>
        <w:t>at least ninety minutes.</w:t>
      </w:r>
      <w:r w:rsidRPr="00D10959">
        <w:rPr>
          <w:rStyle w:val="FootnoteReference"/>
          <w:rFonts w:ascii="Arial" w:hAnsi="Arial" w:cs="Arial"/>
        </w:rPr>
        <w:footnoteReference w:id="12"/>
      </w:r>
      <w:r>
        <w:rPr>
          <w:rFonts w:ascii="Arial" w:hAnsi="Arial" w:cs="Arial"/>
        </w:rPr>
        <w:t xml:space="preserve"> </w:t>
      </w:r>
      <w:r w:rsidRPr="00D10959">
        <w:rPr>
          <w:rFonts w:ascii="Arial" w:hAnsi="Arial" w:cs="Arial"/>
        </w:rPr>
        <w:t>Changes in endothelial function are associated with development of heart disease and triggering heart attacks.</w:t>
      </w:r>
      <w:r w:rsidRPr="00D10959">
        <w:rPr>
          <w:rStyle w:val="FootnoteReference"/>
          <w:rFonts w:ascii="Arial" w:hAnsi="Arial" w:cs="Arial"/>
        </w:rPr>
        <w:footnoteReference w:id="13"/>
      </w:r>
      <w:r w:rsidRPr="00D10959">
        <w:rPr>
          <w:rFonts w:ascii="Arial" w:hAnsi="Arial" w:cs="Arial"/>
          <w:vertAlign w:val="superscript"/>
        </w:rPr>
        <w:t>,</w:t>
      </w:r>
      <w:r w:rsidRPr="00D10959">
        <w:rPr>
          <w:rStyle w:val="FootnoteReference"/>
          <w:rFonts w:ascii="Arial" w:hAnsi="Arial" w:cs="Arial"/>
        </w:rPr>
        <w:footnoteReference w:id="14"/>
      </w:r>
      <w:r>
        <w:rPr>
          <w:rFonts w:ascii="Arial" w:hAnsi="Arial" w:cs="Arial"/>
          <w:vertAlign w:val="superscript"/>
        </w:rPr>
        <w:t xml:space="preserve"> </w:t>
      </w:r>
      <w:r w:rsidRPr="00D10959">
        <w:rPr>
          <w:rFonts w:ascii="Arial" w:hAnsi="Arial" w:cs="Arial"/>
        </w:rPr>
        <w:t>Evidence for cannabis’s negative health effects (and medical efficacy) is still under study and evidence will continue to emerge in the coming years, owing largely to longstanding barriers to research stemming from illegality</w:t>
      </w:r>
      <w:r w:rsidR="00B540E3">
        <w:rPr>
          <w:rFonts w:ascii="Arial" w:hAnsi="Arial" w:cs="Arial"/>
        </w:rPr>
        <w:t>.</w:t>
      </w:r>
      <w:r w:rsidR="00B540E3">
        <w:rPr>
          <w:rStyle w:val="FootnoteReference"/>
          <w:rFonts w:ascii="Arial" w:hAnsi="Arial" w:cs="Arial"/>
        </w:rPr>
        <w:footnoteReference w:id="15"/>
      </w:r>
    </w:p>
    <w:p w14:paraId="098FAF60" w14:textId="77777777" w:rsidR="008B04E4" w:rsidRPr="00D10959" w:rsidRDefault="008B04E4" w:rsidP="000269A1">
      <w:pPr>
        <w:ind w:right="-720"/>
        <w:jc w:val="both"/>
        <w:rPr>
          <w:rFonts w:ascii="Arial" w:hAnsi="Arial" w:cs="Arial"/>
        </w:rPr>
      </w:pPr>
    </w:p>
    <w:p w14:paraId="62C27391" w14:textId="3B9DEBA8" w:rsidR="00B540E3" w:rsidRPr="00B540E3" w:rsidRDefault="008B04E4" w:rsidP="000269A1">
      <w:pPr>
        <w:ind w:right="-720"/>
        <w:jc w:val="both"/>
        <w:rPr>
          <w:rFonts w:ascii="Arial" w:hAnsi="Arial" w:cs="Arial"/>
        </w:rPr>
      </w:pPr>
      <w:r w:rsidRPr="00B540E3">
        <w:rPr>
          <w:rFonts w:ascii="Arial" w:hAnsi="Arial" w:cs="Arial"/>
        </w:rPr>
        <w:lastRenderedPageBreak/>
        <w:t>Protecting the public health requires that both medical and recreational cannabis markets be well controlled and designed to prevent the emergence of a powerful industry that resembles the tobacco or alcohol industries.</w:t>
      </w:r>
      <w:r w:rsidR="00B540E3" w:rsidRPr="00B540E3">
        <w:rPr>
          <w:rFonts w:ascii="Arial" w:hAnsi="Arial" w:cs="Arial"/>
        </w:rPr>
        <w:t xml:space="preserve"> Unless the State of California clearly adopts a public health framework for regulating this new legal market,</w:t>
      </w:r>
      <w:r w:rsidR="00B540E3" w:rsidRPr="00B540E3">
        <w:rPr>
          <w:rStyle w:val="FootnoteReference"/>
          <w:rFonts w:ascii="Arial" w:hAnsi="Arial" w:cs="Arial"/>
        </w:rPr>
        <w:footnoteReference w:id="16"/>
      </w:r>
      <w:r w:rsidR="00B540E3" w:rsidRPr="00B540E3">
        <w:rPr>
          <w:rFonts w:ascii="Arial" w:hAnsi="Arial" w:cs="Arial"/>
        </w:rPr>
        <w:t xml:space="preserve"> </w:t>
      </w:r>
      <w:r w:rsidR="00B540E3" w:rsidRPr="006C65C5">
        <w:rPr>
          <w:rFonts w:ascii="Arial" w:hAnsi="Arial" w:cs="Arial"/>
          <w:b/>
        </w:rPr>
        <w:t>normal profit-maximizing behavior by business is likely to impose health costs on the people of California</w:t>
      </w:r>
      <w:r w:rsidR="00B540E3" w:rsidRPr="00B540E3">
        <w:rPr>
          <w:rFonts w:ascii="Arial" w:hAnsi="Arial" w:cs="Arial"/>
        </w:rPr>
        <w:t xml:space="preserve"> similar to those imposed by the tobacco and alcohol industries, including using their political power to oppose effective regulatory, tax, and public education policies that would reduce consumption and profits. </w:t>
      </w:r>
      <w:r w:rsidR="00EA5F1F">
        <w:rPr>
          <w:rFonts w:ascii="Arial" w:hAnsi="Arial" w:cs="Arial"/>
        </w:rPr>
        <w:t>It is the duty of the State to act now, not to promote the unfettered growth of the cannabis industry, but rather to act effectively to protect public health while executing a prudent and cautious approach to allow transition to a legal market.</w:t>
      </w:r>
      <w:r w:rsidR="00635516">
        <w:rPr>
          <w:rFonts w:ascii="Arial" w:hAnsi="Arial" w:cs="Arial"/>
        </w:rPr>
        <w:t xml:space="preserve"> </w:t>
      </w:r>
    </w:p>
    <w:p w14:paraId="39D4E9F7" w14:textId="23A528A0" w:rsidR="00B540E3" w:rsidRPr="00B540E3" w:rsidRDefault="00B540E3" w:rsidP="008B04E4">
      <w:pPr>
        <w:tabs>
          <w:tab w:val="left" w:pos="360"/>
        </w:tabs>
        <w:rPr>
          <w:rFonts w:ascii="Arial" w:hAnsi="Arial" w:cs="Arial"/>
        </w:rPr>
      </w:pPr>
    </w:p>
    <w:p w14:paraId="364D6B11" w14:textId="35556934" w:rsidR="001B3D32" w:rsidRPr="00714047" w:rsidRDefault="001B3D32" w:rsidP="00714047">
      <w:pPr>
        <w:tabs>
          <w:tab w:val="left" w:pos="360"/>
        </w:tabs>
        <w:outlineLvl w:val="0"/>
        <w:rPr>
          <w:rFonts w:ascii="Arial" w:hAnsi="Arial" w:cs="Arial"/>
          <w:b/>
          <w:sz w:val="28"/>
          <w:szCs w:val="28"/>
        </w:rPr>
      </w:pPr>
      <w:r w:rsidRPr="003E69FD">
        <w:rPr>
          <w:rFonts w:ascii="Arial" w:hAnsi="Arial" w:cs="Arial"/>
          <w:b/>
          <w:sz w:val="28"/>
          <w:szCs w:val="28"/>
        </w:rPr>
        <w:t>Specific Recommendations:</w:t>
      </w:r>
    </w:p>
    <w:p w14:paraId="70198A3F" w14:textId="5C63B1C3" w:rsidR="00687DCF" w:rsidRPr="00D10959" w:rsidRDefault="00687DCF" w:rsidP="00687DCF">
      <w:pPr>
        <w:tabs>
          <w:tab w:val="left" w:pos="360"/>
        </w:tabs>
        <w:jc w:val="both"/>
        <w:rPr>
          <w:rFonts w:ascii="Arial" w:hAnsi="Arial" w:cs="Arial"/>
        </w:rPr>
      </w:pPr>
    </w:p>
    <w:p w14:paraId="341A188F" w14:textId="77A76E10" w:rsidR="00687DCF" w:rsidRDefault="00687DCF" w:rsidP="00674B61">
      <w:pPr>
        <w:tabs>
          <w:tab w:val="left" w:pos="360"/>
        </w:tabs>
        <w:spacing w:after="120"/>
        <w:jc w:val="both"/>
        <w:rPr>
          <w:rFonts w:ascii="Arial" w:hAnsi="Arial" w:cs="Arial"/>
          <w:b/>
        </w:rPr>
      </w:pPr>
      <w:r w:rsidRPr="00D10959">
        <w:rPr>
          <w:rFonts w:ascii="Arial" w:hAnsi="Arial" w:cs="Arial"/>
          <w:b/>
        </w:rPr>
        <w:t>Positive change</w:t>
      </w:r>
      <w:r w:rsidR="00057B22">
        <w:rPr>
          <w:rFonts w:ascii="Arial" w:hAnsi="Arial" w:cs="Arial"/>
          <w:b/>
        </w:rPr>
        <w:t>s</w:t>
      </w:r>
      <w:r w:rsidRPr="00D10959">
        <w:rPr>
          <w:rFonts w:ascii="Arial" w:hAnsi="Arial" w:cs="Arial"/>
          <w:b/>
        </w:rPr>
        <w:t xml:space="preserve">: </w:t>
      </w:r>
    </w:p>
    <w:p w14:paraId="308ABCE0" w14:textId="4672795D" w:rsidR="00714047" w:rsidRPr="007861C0" w:rsidRDefault="007861C0" w:rsidP="000269A1">
      <w:pPr>
        <w:tabs>
          <w:tab w:val="left" w:pos="360"/>
        </w:tabs>
        <w:spacing w:after="120"/>
        <w:ind w:right="-720"/>
        <w:jc w:val="both"/>
        <w:rPr>
          <w:rFonts w:ascii="Arial" w:hAnsi="Arial" w:cs="Arial"/>
        </w:rPr>
      </w:pPr>
      <w:r w:rsidRPr="00D10959">
        <w:rPr>
          <w:rFonts w:ascii="Arial" w:hAnsi="Arial" w:cs="Arial"/>
        </w:rPr>
        <w:t xml:space="preserve">The proposed </w:t>
      </w:r>
      <w:r w:rsidR="00847481">
        <w:rPr>
          <w:rFonts w:ascii="Arial" w:hAnsi="Arial" w:cs="Arial"/>
        </w:rPr>
        <w:t>text of</w:t>
      </w:r>
      <w:r w:rsidRPr="00D10959">
        <w:rPr>
          <w:rFonts w:ascii="Arial" w:hAnsi="Arial" w:cs="Arial"/>
        </w:rPr>
        <w:t xml:space="preserve"> regulations contain</w:t>
      </w:r>
      <w:r w:rsidR="00EA5F1F">
        <w:rPr>
          <w:rFonts w:ascii="Arial" w:hAnsi="Arial" w:cs="Arial"/>
        </w:rPr>
        <w:t>s</w:t>
      </w:r>
      <w:r w:rsidRPr="00D10959">
        <w:rPr>
          <w:rFonts w:ascii="Arial" w:hAnsi="Arial" w:cs="Arial"/>
        </w:rPr>
        <w:t xml:space="preserve"> </w:t>
      </w:r>
      <w:r w:rsidR="00EA5F1F">
        <w:rPr>
          <w:rFonts w:ascii="Arial" w:hAnsi="Arial" w:cs="Arial"/>
        </w:rPr>
        <w:t>certain</w:t>
      </w:r>
      <w:r w:rsidRPr="00D10959">
        <w:rPr>
          <w:rFonts w:ascii="Arial" w:hAnsi="Arial" w:cs="Arial"/>
        </w:rPr>
        <w:t xml:space="preserve"> important and valuable provisions for structuring the process </w:t>
      </w:r>
      <w:r w:rsidR="00714047">
        <w:rPr>
          <w:rFonts w:ascii="Arial" w:hAnsi="Arial" w:cs="Arial"/>
        </w:rPr>
        <w:t>of legalization. Including:</w:t>
      </w:r>
    </w:p>
    <w:p w14:paraId="37F3902F" w14:textId="77777777" w:rsidR="00687DCF" w:rsidRPr="00057B22" w:rsidRDefault="00687DCF" w:rsidP="001927FE">
      <w:pPr>
        <w:pStyle w:val="ListParagraph"/>
        <w:numPr>
          <w:ilvl w:val="0"/>
          <w:numId w:val="10"/>
        </w:numPr>
        <w:tabs>
          <w:tab w:val="left" w:pos="360"/>
        </w:tabs>
        <w:jc w:val="both"/>
        <w:rPr>
          <w:rFonts w:ascii="Arial" w:hAnsi="Arial" w:cs="Arial"/>
          <w:i/>
        </w:rPr>
      </w:pPr>
      <w:r w:rsidRPr="00057B22">
        <w:rPr>
          <w:rFonts w:ascii="Arial" w:hAnsi="Arial" w:cs="Arial"/>
          <w:i/>
        </w:rPr>
        <w:t xml:space="preserve">§ 5040. Advertising Placement </w:t>
      </w:r>
    </w:p>
    <w:p w14:paraId="15EF2FBF" w14:textId="77777777" w:rsidR="00687DCF" w:rsidRPr="00057B22" w:rsidRDefault="00687DCF" w:rsidP="001927FE">
      <w:pPr>
        <w:tabs>
          <w:tab w:val="left" w:pos="360"/>
        </w:tabs>
        <w:ind w:left="720"/>
        <w:jc w:val="both"/>
        <w:rPr>
          <w:rFonts w:ascii="Arial" w:hAnsi="Arial" w:cs="Arial"/>
          <w:i/>
        </w:rPr>
      </w:pPr>
      <w:r w:rsidRPr="00057B22">
        <w:rPr>
          <w:rFonts w:ascii="Arial" w:hAnsi="Arial" w:cs="Arial"/>
          <w:i/>
        </w:rPr>
        <w:t>(a)(2) Shall not use any depictions or images of minors under 18 years of age.</w:t>
      </w:r>
    </w:p>
    <w:p w14:paraId="14076F9B" w14:textId="77777777" w:rsidR="00687DCF" w:rsidRPr="00057B22" w:rsidRDefault="00687DCF" w:rsidP="001927FE">
      <w:pPr>
        <w:tabs>
          <w:tab w:val="left" w:pos="360"/>
        </w:tabs>
        <w:ind w:left="720"/>
        <w:jc w:val="both"/>
        <w:rPr>
          <w:rFonts w:ascii="Arial" w:hAnsi="Arial" w:cs="Arial"/>
          <w:i/>
        </w:rPr>
      </w:pPr>
      <w:r w:rsidRPr="00057B22">
        <w:rPr>
          <w:rFonts w:ascii="Arial" w:hAnsi="Arial" w:cs="Arial"/>
          <w:i/>
        </w:rPr>
        <w:t>(3) Shall not contain the use of objects, such as toys, inflatables, movie characters, cartoon characters, or include any other display, depiction, or image designed in any manner likely to be appealing to minors under 18 years of age; and</w:t>
      </w:r>
    </w:p>
    <w:p w14:paraId="7C515024" w14:textId="77777777" w:rsidR="00687DCF" w:rsidRPr="00057B22" w:rsidRDefault="00687DCF" w:rsidP="001927FE">
      <w:pPr>
        <w:tabs>
          <w:tab w:val="left" w:pos="360"/>
        </w:tabs>
        <w:ind w:left="720"/>
        <w:jc w:val="both"/>
        <w:rPr>
          <w:rFonts w:ascii="Arial" w:hAnsi="Arial" w:cs="Arial"/>
          <w:i/>
        </w:rPr>
      </w:pPr>
      <w:r w:rsidRPr="00057B22">
        <w:rPr>
          <w:rFonts w:ascii="Arial" w:hAnsi="Arial" w:cs="Arial"/>
          <w:i/>
        </w:rPr>
        <w:t>(4) Shall not advertise free cannabis goods or giveaways of any type of products.</w:t>
      </w:r>
    </w:p>
    <w:p w14:paraId="3EB9F4C3" w14:textId="51B11362" w:rsidR="00057B22" w:rsidRDefault="00687DCF" w:rsidP="001927FE">
      <w:pPr>
        <w:tabs>
          <w:tab w:val="left" w:pos="360"/>
        </w:tabs>
        <w:spacing w:after="120"/>
        <w:ind w:left="720"/>
        <w:jc w:val="both"/>
        <w:rPr>
          <w:rFonts w:ascii="Arial" w:hAnsi="Arial" w:cs="Arial"/>
          <w:i/>
        </w:rPr>
      </w:pPr>
      <w:r w:rsidRPr="00057B22">
        <w:rPr>
          <w:rFonts w:ascii="Arial" w:hAnsi="Arial" w:cs="Arial"/>
          <w:i/>
        </w:rPr>
        <w:t>(b) In addition to the requirements for advertising and marketing in subsection (a) of this section, all outdoor signs, including billboards, must be affixed to a building or permanent structure.</w:t>
      </w:r>
    </w:p>
    <w:p w14:paraId="0DF307C0" w14:textId="1A4C4649" w:rsidR="00674B61" w:rsidRPr="00674B61" w:rsidRDefault="00057B22" w:rsidP="000269A1">
      <w:pPr>
        <w:tabs>
          <w:tab w:val="left" w:pos="360"/>
        </w:tabs>
        <w:spacing w:after="120"/>
        <w:ind w:right="-720"/>
        <w:jc w:val="both"/>
        <w:rPr>
          <w:rFonts w:ascii="Arial" w:hAnsi="Arial" w:cs="Arial"/>
          <w:color w:val="000000" w:themeColor="text1"/>
          <w:vertAlign w:val="superscript"/>
        </w:rPr>
      </w:pPr>
      <w:r>
        <w:rPr>
          <w:rFonts w:ascii="Arial" w:hAnsi="Arial" w:cs="Arial"/>
        </w:rPr>
        <w:t>The revised framework for advertising strengthens the regulations</w:t>
      </w:r>
      <w:r w:rsidR="00423C84">
        <w:rPr>
          <w:rFonts w:ascii="Arial" w:hAnsi="Arial" w:cs="Arial"/>
        </w:rPr>
        <w:t xml:space="preserve">’ ability to protect youth and </w:t>
      </w:r>
      <w:proofErr w:type="gramStart"/>
      <w:r w:rsidR="00423C84">
        <w:rPr>
          <w:rFonts w:ascii="Arial" w:hAnsi="Arial" w:cs="Arial"/>
        </w:rPr>
        <w:t>communities</w:t>
      </w:r>
      <w:r>
        <w:rPr>
          <w:rFonts w:ascii="Arial" w:hAnsi="Arial" w:cs="Arial"/>
        </w:rPr>
        <w:t>,</w:t>
      </w:r>
      <w:r w:rsidR="003323F9">
        <w:rPr>
          <w:rFonts w:ascii="Arial" w:hAnsi="Arial" w:cs="Arial"/>
        </w:rPr>
        <w:t xml:space="preserve"> </w:t>
      </w:r>
      <w:r>
        <w:rPr>
          <w:rFonts w:ascii="Arial" w:hAnsi="Arial" w:cs="Arial"/>
        </w:rPr>
        <w:t>and</w:t>
      </w:r>
      <w:proofErr w:type="gramEnd"/>
      <w:r>
        <w:rPr>
          <w:rFonts w:ascii="Arial" w:hAnsi="Arial" w:cs="Arial"/>
        </w:rPr>
        <w:t xml:space="preserve"> makes </w:t>
      </w:r>
      <w:r w:rsidR="003323F9">
        <w:rPr>
          <w:rFonts w:ascii="Arial" w:hAnsi="Arial" w:cs="Arial"/>
        </w:rPr>
        <w:t xml:space="preserve">some </w:t>
      </w:r>
      <w:r>
        <w:rPr>
          <w:rFonts w:ascii="Arial" w:hAnsi="Arial" w:cs="Arial"/>
        </w:rPr>
        <w:t xml:space="preserve">progress in catching up to other states </w:t>
      </w:r>
      <w:r w:rsidRPr="00D10959">
        <w:rPr>
          <w:rFonts w:ascii="Arial" w:hAnsi="Arial" w:cs="Arial"/>
        </w:rPr>
        <w:t xml:space="preserve">which have </w:t>
      </w:r>
      <w:r w:rsidR="003323F9">
        <w:rPr>
          <w:rFonts w:ascii="Arial" w:hAnsi="Arial" w:cs="Arial"/>
        </w:rPr>
        <w:t xml:space="preserve">more actively </w:t>
      </w:r>
      <w:r>
        <w:rPr>
          <w:rFonts w:ascii="Arial" w:hAnsi="Arial" w:cs="Arial"/>
        </w:rPr>
        <w:t>limited</w:t>
      </w:r>
      <w:r w:rsidRPr="00D10959">
        <w:rPr>
          <w:rFonts w:ascii="Arial" w:hAnsi="Arial" w:cs="Arial"/>
        </w:rPr>
        <w:t xml:space="preserve"> outdoor advertising, bill</w:t>
      </w:r>
      <w:r>
        <w:rPr>
          <w:rFonts w:ascii="Arial" w:hAnsi="Arial" w:cs="Arial"/>
        </w:rPr>
        <w:t xml:space="preserve">boards, radio and television advertising. The addition of an explicit definition of advertising content appealing to minors </w:t>
      </w:r>
      <w:r w:rsidR="007861C0">
        <w:rPr>
          <w:rFonts w:ascii="Arial" w:hAnsi="Arial" w:cs="Arial"/>
          <w:color w:val="000000" w:themeColor="text1"/>
        </w:rPr>
        <w:t xml:space="preserve">gives marketers clear instruction and enables objective assessment of compliance. This definition contains a number of elements also identified by a </w:t>
      </w:r>
      <w:r w:rsidR="007861C0" w:rsidRPr="00653159">
        <w:rPr>
          <w:rFonts w:ascii="Arial" w:hAnsi="Arial" w:cs="Arial"/>
          <w:color w:val="000000" w:themeColor="text1"/>
        </w:rPr>
        <w:t xml:space="preserve">systematic review of the literature on specific content features to which minors are particularly susceptible </w:t>
      </w:r>
      <w:r w:rsidR="007861C0">
        <w:rPr>
          <w:rFonts w:ascii="Arial" w:hAnsi="Arial" w:cs="Arial"/>
          <w:color w:val="000000" w:themeColor="text1"/>
        </w:rPr>
        <w:t xml:space="preserve">in </w:t>
      </w:r>
      <w:r w:rsidR="007861C0" w:rsidRPr="00653159">
        <w:rPr>
          <w:rFonts w:ascii="Arial" w:hAnsi="Arial" w:cs="Arial"/>
          <w:color w:val="000000" w:themeColor="text1"/>
        </w:rPr>
        <w:t>advertising</w:t>
      </w:r>
      <w:r w:rsidR="007861C0">
        <w:rPr>
          <w:rFonts w:ascii="Arial" w:hAnsi="Arial" w:cs="Arial"/>
          <w:color w:val="000000" w:themeColor="text1"/>
        </w:rPr>
        <w:t xml:space="preserve"> for alcohol, tobacco and food</w:t>
      </w:r>
      <w:r w:rsidR="009F7CE3">
        <w:rPr>
          <w:rFonts w:ascii="Arial" w:hAnsi="Arial" w:cs="Arial"/>
          <w:color w:val="000000" w:themeColor="text1"/>
        </w:rPr>
        <w:t>.</w:t>
      </w:r>
      <w:r w:rsidR="009F7CE3">
        <w:rPr>
          <w:rStyle w:val="FootnoteReference"/>
          <w:rFonts w:ascii="Arial" w:hAnsi="Arial" w:cs="Arial"/>
          <w:color w:val="000000" w:themeColor="text1"/>
        </w:rPr>
        <w:footnoteReference w:id="17"/>
      </w:r>
      <w:r w:rsidR="007861C0" w:rsidRPr="00653159">
        <w:rPr>
          <w:rFonts w:ascii="Arial" w:hAnsi="Arial" w:cs="Arial"/>
          <w:color w:val="000000" w:themeColor="text1"/>
        </w:rPr>
        <w:t xml:space="preserve"> A subsequent analysis found a positive association between the use of such features in alcohol brand advertisements and youth consumption of those brands, and no association with adult alcohol consumption of those brands, suggesting that they have particular appeal to youth</w:t>
      </w:r>
      <w:r w:rsidR="007861C0">
        <w:rPr>
          <w:rFonts w:ascii="Arial" w:hAnsi="Arial" w:cs="Arial"/>
          <w:color w:val="000000" w:themeColor="text1"/>
        </w:rPr>
        <w:t>.</w:t>
      </w:r>
      <w:r w:rsidR="009F7CE3">
        <w:rPr>
          <w:rStyle w:val="FootnoteReference"/>
          <w:rFonts w:ascii="Arial" w:hAnsi="Arial" w:cs="Arial"/>
          <w:color w:val="000000" w:themeColor="text1"/>
        </w:rPr>
        <w:footnoteReference w:id="18"/>
      </w:r>
    </w:p>
    <w:p w14:paraId="22C6AB4C" w14:textId="77777777" w:rsidR="00674B61" w:rsidRDefault="00674B61" w:rsidP="001927FE">
      <w:pPr>
        <w:pStyle w:val="ListParagraph"/>
        <w:tabs>
          <w:tab w:val="left" w:pos="360"/>
        </w:tabs>
        <w:spacing w:after="120"/>
        <w:jc w:val="both"/>
        <w:rPr>
          <w:rFonts w:ascii="Arial" w:hAnsi="Arial" w:cs="Arial"/>
          <w:i/>
        </w:rPr>
      </w:pPr>
    </w:p>
    <w:p w14:paraId="056EB447" w14:textId="3269E017" w:rsidR="00057B22" w:rsidRPr="007861C0" w:rsidRDefault="00687DCF" w:rsidP="001927FE">
      <w:pPr>
        <w:pStyle w:val="ListParagraph"/>
        <w:numPr>
          <w:ilvl w:val="0"/>
          <w:numId w:val="10"/>
        </w:numPr>
        <w:tabs>
          <w:tab w:val="left" w:pos="360"/>
        </w:tabs>
        <w:spacing w:after="120"/>
        <w:jc w:val="both"/>
        <w:rPr>
          <w:rFonts w:ascii="Arial" w:hAnsi="Arial" w:cs="Arial"/>
          <w:i/>
        </w:rPr>
      </w:pPr>
      <w:r w:rsidRPr="007861C0">
        <w:rPr>
          <w:rFonts w:ascii="Arial" w:hAnsi="Arial" w:cs="Arial"/>
          <w:i/>
        </w:rPr>
        <w:t>§ 5407. Sale of Non-Cannabis Goods on Premises</w:t>
      </w:r>
      <w:r w:rsidR="00302214" w:rsidRPr="007861C0">
        <w:rPr>
          <w:rFonts w:ascii="Arial" w:hAnsi="Arial" w:cs="Arial"/>
          <w:i/>
        </w:rPr>
        <w:t xml:space="preserve">. </w:t>
      </w:r>
      <w:r w:rsidRPr="007861C0">
        <w:rPr>
          <w:rFonts w:ascii="Arial" w:hAnsi="Arial" w:cs="Arial"/>
          <w:i/>
        </w:rPr>
        <w:t>In addition to cannabis goods, a licensed retailer may sell only cannabis accessories and any licensee’s branded mercha</w:t>
      </w:r>
      <w:r w:rsidR="00302214" w:rsidRPr="007861C0">
        <w:rPr>
          <w:rFonts w:ascii="Arial" w:hAnsi="Arial" w:cs="Arial"/>
          <w:i/>
        </w:rPr>
        <w:t>ndise or promotional materials</w:t>
      </w:r>
    </w:p>
    <w:p w14:paraId="54B4F817" w14:textId="69C8D544" w:rsidR="005A0FCA" w:rsidRDefault="00302214" w:rsidP="000269A1">
      <w:pPr>
        <w:tabs>
          <w:tab w:val="left" w:pos="360"/>
        </w:tabs>
        <w:spacing w:after="120"/>
        <w:ind w:right="-720"/>
        <w:jc w:val="both"/>
        <w:rPr>
          <w:rFonts w:ascii="Arial" w:hAnsi="Arial" w:cs="Arial"/>
        </w:rPr>
      </w:pPr>
      <w:r w:rsidRPr="00057B22">
        <w:rPr>
          <w:rFonts w:ascii="Arial" w:hAnsi="Arial" w:cs="Arial"/>
        </w:rPr>
        <w:lastRenderedPageBreak/>
        <w:t xml:space="preserve">We strongly support </w:t>
      </w:r>
      <w:r w:rsidR="00423C84">
        <w:rPr>
          <w:rFonts w:ascii="Arial" w:hAnsi="Arial" w:cs="Arial"/>
        </w:rPr>
        <w:t xml:space="preserve">the </w:t>
      </w:r>
      <w:r w:rsidR="00F03390">
        <w:rPr>
          <w:rFonts w:ascii="Arial" w:hAnsi="Arial" w:cs="Arial"/>
        </w:rPr>
        <w:t xml:space="preserve">important </w:t>
      </w:r>
      <w:r w:rsidR="00423C84">
        <w:rPr>
          <w:rFonts w:ascii="Arial" w:hAnsi="Arial" w:cs="Arial"/>
        </w:rPr>
        <w:t>decision to require</w:t>
      </w:r>
      <w:r w:rsidRPr="00057B22">
        <w:rPr>
          <w:rFonts w:ascii="Arial" w:hAnsi="Arial" w:cs="Arial"/>
        </w:rPr>
        <w:t xml:space="preserve"> specialization of cannabis businesses. Allowing cannabis retailing to occur in other commercial settings, for instance, </w:t>
      </w:r>
      <w:r w:rsidR="00EA5F1F">
        <w:rPr>
          <w:rFonts w:ascii="Arial" w:hAnsi="Arial" w:cs="Arial"/>
        </w:rPr>
        <w:t xml:space="preserve">food service establishments or </w:t>
      </w:r>
      <w:r w:rsidR="00423C84">
        <w:rPr>
          <w:rFonts w:ascii="Arial" w:hAnsi="Arial" w:cs="Arial"/>
        </w:rPr>
        <w:t xml:space="preserve">pharmacies </w:t>
      </w:r>
      <w:r w:rsidR="00057B22" w:rsidRPr="00057B22">
        <w:rPr>
          <w:rFonts w:ascii="Arial" w:hAnsi="Arial" w:cs="Arial"/>
        </w:rPr>
        <w:t>that would serve youth under other circumstances</w:t>
      </w:r>
      <w:r w:rsidRPr="00057B22">
        <w:rPr>
          <w:rFonts w:ascii="Arial" w:hAnsi="Arial" w:cs="Arial"/>
        </w:rPr>
        <w:t xml:space="preserve">, </w:t>
      </w:r>
      <w:r w:rsidR="00057B22" w:rsidRPr="00057B22">
        <w:rPr>
          <w:rFonts w:ascii="Arial" w:hAnsi="Arial" w:cs="Arial"/>
        </w:rPr>
        <w:t>would</w:t>
      </w:r>
      <w:r w:rsidRPr="00057B22">
        <w:rPr>
          <w:rFonts w:ascii="Arial" w:hAnsi="Arial" w:cs="Arial"/>
        </w:rPr>
        <w:t xml:space="preserve"> contribute to normalization of cannabis use.</w:t>
      </w:r>
      <w:r w:rsidR="00714047">
        <w:rPr>
          <w:rFonts w:ascii="Arial" w:hAnsi="Arial" w:cs="Arial"/>
        </w:rPr>
        <w:t xml:space="preserve"> This change </w:t>
      </w:r>
      <w:r w:rsidR="00EA5F1F">
        <w:rPr>
          <w:rFonts w:ascii="Arial" w:hAnsi="Arial" w:cs="Arial"/>
        </w:rPr>
        <w:t>aligns</w:t>
      </w:r>
      <w:r w:rsidR="00714047">
        <w:rPr>
          <w:rFonts w:ascii="Arial" w:hAnsi="Arial" w:cs="Arial"/>
        </w:rPr>
        <w:t xml:space="preserve"> with </w:t>
      </w:r>
      <w:r w:rsidR="00EA5F1F">
        <w:rPr>
          <w:rFonts w:ascii="Arial" w:hAnsi="Arial" w:cs="Arial"/>
        </w:rPr>
        <w:t xml:space="preserve">laws of </w:t>
      </w:r>
      <w:r w:rsidR="00714047">
        <w:rPr>
          <w:rFonts w:ascii="Arial" w:hAnsi="Arial" w:cs="Arial"/>
        </w:rPr>
        <w:t>o</w:t>
      </w:r>
      <w:r w:rsidR="00714047" w:rsidRPr="00D10959">
        <w:rPr>
          <w:rFonts w:ascii="Arial" w:hAnsi="Arial" w:cs="Arial"/>
        </w:rPr>
        <w:t xml:space="preserve">ther states, such as Colorado, </w:t>
      </w:r>
      <w:r w:rsidR="00714047">
        <w:rPr>
          <w:rFonts w:ascii="Arial" w:hAnsi="Arial" w:cs="Arial"/>
        </w:rPr>
        <w:t>Washington, Nevada and Main</w:t>
      </w:r>
      <w:r w:rsidR="00EA5F1F">
        <w:rPr>
          <w:rFonts w:ascii="Arial" w:hAnsi="Arial" w:cs="Arial"/>
        </w:rPr>
        <w:t xml:space="preserve">e, </w:t>
      </w:r>
      <w:r w:rsidR="00714047">
        <w:rPr>
          <w:rFonts w:ascii="Arial" w:hAnsi="Arial" w:cs="Arial"/>
        </w:rPr>
        <w:t xml:space="preserve">that </w:t>
      </w:r>
      <w:r w:rsidR="00714047" w:rsidRPr="00D10959">
        <w:rPr>
          <w:rFonts w:ascii="Arial" w:hAnsi="Arial" w:cs="Arial"/>
        </w:rPr>
        <w:t>use a model of specialized cannabis commerce.</w:t>
      </w:r>
    </w:p>
    <w:p w14:paraId="1AB9285F" w14:textId="77777777" w:rsidR="000269A1" w:rsidRDefault="000269A1" w:rsidP="000269A1">
      <w:pPr>
        <w:tabs>
          <w:tab w:val="left" w:pos="360"/>
        </w:tabs>
        <w:spacing w:after="120"/>
        <w:ind w:right="-720"/>
        <w:jc w:val="both"/>
        <w:rPr>
          <w:rFonts w:ascii="Arial" w:hAnsi="Arial" w:cs="Arial"/>
        </w:rPr>
      </w:pPr>
    </w:p>
    <w:p w14:paraId="66BD36DA" w14:textId="20F8E1FF" w:rsidR="007861C0" w:rsidRDefault="00687DCF" w:rsidP="000269A1">
      <w:pPr>
        <w:pStyle w:val="ListParagraph"/>
        <w:numPr>
          <w:ilvl w:val="0"/>
          <w:numId w:val="10"/>
        </w:numPr>
        <w:tabs>
          <w:tab w:val="left" w:pos="360"/>
        </w:tabs>
        <w:spacing w:after="120"/>
        <w:jc w:val="both"/>
        <w:rPr>
          <w:rFonts w:ascii="Arial" w:hAnsi="Arial" w:cs="Arial"/>
          <w:i/>
        </w:rPr>
      </w:pPr>
      <w:r w:rsidRPr="007861C0">
        <w:rPr>
          <w:rFonts w:ascii="Arial" w:hAnsi="Arial" w:cs="Arial"/>
          <w:i/>
        </w:rPr>
        <w:t>§ 5415. Delivery Employees</w:t>
      </w:r>
      <w:r w:rsidR="007861C0" w:rsidRPr="007861C0">
        <w:rPr>
          <w:rFonts w:ascii="Arial" w:hAnsi="Arial" w:cs="Arial"/>
          <w:i/>
        </w:rPr>
        <w:t xml:space="preserve"> </w:t>
      </w:r>
      <w:r w:rsidRPr="007861C0">
        <w:rPr>
          <w:rFonts w:ascii="Arial" w:hAnsi="Arial" w:cs="Arial"/>
          <w:i/>
        </w:rPr>
        <w:t xml:space="preserve">(f) Prior to providing cannabis goods to a delivery customer, a delivery employee shall confirm the identity and age of the delivery customer as required by section 5404 of this </w:t>
      </w:r>
      <w:proofErr w:type="gramStart"/>
      <w:r w:rsidRPr="007861C0">
        <w:rPr>
          <w:rFonts w:ascii="Arial" w:hAnsi="Arial" w:cs="Arial"/>
          <w:i/>
        </w:rPr>
        <w:t>division, and</w:t>
      </w:r>
      <w:proofErr w:type="gramEnd"/>
      <w:r w:rsidRPr="007861C0">
        <w:rPr>
          <w:rFonts w:ascii="Arial" w:hAnsi="Arial" w:cs="Arial"/>
          <w:i/>
        </w:rPr>
        <w:t xml:space="preserve"> place the cannabis goods in a resealable child-resistant opaque exit package.</w:t>
      </w:r>
    </w:p>
    <w:p w14:paraId="2DF70DA5" w14:textId="77145EA9" w:rsidR="003B38DF" w:rsidRDefault="00714047" w:rsidP="000269A1">
      <w:pPr>
        <w:tabs>
          <w:tab w:val="left" w:pos="360"/>
        </w:tabs>
        <w:spacing w:after="120"/>
        <w:ind w:right="-720"/>
        <w:jc w:val="both"/>
        <w:rPr>
          <w:rFonts w:ascii="Arial" w:hAnsi="Arial" w:cs="Arial"/>
        </w:rPr>
      </w:pPr>
      <w:r w:rsidRPr="00714047">
        <w:rPr>
          <w:rFonts w:ascii="Arial" w:hAnsi="Arial" w:cs="Arial"/>
        </w:rPr>
        <w:t xml:space="preserve">The </w:t>
      </w:r>
      <w:r>
        <w:rPr>
          <w:rFonts w:ascii="Arial" w:hAnsi="Arial" w:cs="Arial"/>
        </w:rPr>
        <w:t>emergency</w:t>
      </w:r>
      <w:r w:rsidRPr="00714047">
        <w:rPr>
          <w:rFonts w:ascii="Arial" w:hAnsi="Arial" w:cs="Arial"/>
        </w:rPr>
        <w:t xml:space="preserve"> draft deliv</w:t>
      </w:r>
      <w:r>
        <w:rPr>
          <w:rFonts w:ascii="Arial" w:hAnsi="Arial" w:cs="Arial"/>
        </w:rPr>
        <w:t>ery regulations in §5414-5421 did</w:t>
      </w:r>
      <w:r w:rsidRPr="00714047">
        <w:rPr>
          <w:rFonts w:ascii="Arial" w:hAnsi="Arial" w:cs="Arial"/>
        </w:rPr>
        <w:t xml:space="preserve"> not contain an explicit requirement for delivery drivers to verify the age and identity of the recipient who has purchased the cannabis using a delivery platform. </w:t>
      </w:r>
      <w:r>
        <w:rPr>
          <w:rFonts w:ascii="Arial" w:hAnsi="Arial" w:cs="Arial"/>
        </w:rPr>
        <w:t xml:space="preserve">This </w:t>
      </w:r>
      <w:r w:rsidRPr="00714047">
        <w:rPr>
          <w:rFonts w:ascii="Arial" w:hAnsi="Arial" w:cs="Arial"/>
        </w:rPr>
        <w:t xml:space="preserve">change </w:t>
      </w:r>
      <w:r w:rsidR="00EA5F1F">
        <w:rPr>
          <w:rFonts w:ascii="Arial" w:hAnsi="Arial" w:cs="Arial"/>
        </w:rPr>
        <w:t xml:space="preserve">is essential </w:t>
      </w:r>
      <w:r>
        <w:rPr>
          <w:rFonts w:ascii="Arial" w:hAnsi="Arial" w:cs="Arial"/>
        </w:rPr>
        <w:t xml:space="preserve">to </w:t>
      </w:r>
      <w:r w:rsidRPr="00714047">
        <w:rPr>
          <w:rFonts w:ascii="Arial" w:hAnsi="Arial" w:cs="Arial"/>
        </w:rPr>
        <w:t>ensure compliance and dissuade diversion to youth or illicit markets.</w:t>
      </w:r>
      <w:r w:rsidR="00EA5F1F">
        <w:rPr>
          <w:rFonts w:ascii="Arial" w:hAnsi="Arial" w:cs="Arial"/>
        </w:rPr>
        <w:t xml:space="preserve"> Local governments have already adopted such a provision in some cases</w:t>
      </w:r>
      <w:r w:rsidR="003443C0">
        <w:rPr>
          <w:rFonts w:ascii="Arial" w:hAnsi="Arial" w:cs="Arial"/>
        </w:rPr>
        <w:t xml:space="preserve">, for instance LA City (Ordinance 185344, </w:t>
      </w:r>
      <w:r w:rsidR="003443C0" w:rsidRPr="00AD5C2D">
        <w:rPr>
          <w:rFonts w:ascii="Arial" w:hAnsi="Arial" w:cs="Arial"/>
          <w:i/>
        </w:rPr>
        <w:t>Regulation No. 10. (E) Delivery for Retailer Commercial Cannabis Activity</w:t>
      </w:r>
      <w:r w:rsidR="003443C0">
        <w:rPr>
          <w:rFonts w:ascii="Arial" w:hAnsi="Arial" w:cs="Arial"/>
          <w:i/>
        </w:rPr>
        <w:t>; part (</w:t>
      </w:r>
      <w:r w:rsidR="003443C0" w:rsidRPr="00AD5C2D">
        <w:rPr>
          <w:rFonts w:ascii="Arial" w:hAnsi="Arial" w:cs="Arial"/>
          <w:i/>
        </w:rPr>
        <w:t>4</w:t>
      </w:r>
      <w:r w:rsidR="003443C0">
        <w:rPr>
          <w:rFonts w:ascii="Arial" w:hAnsi="Arial" w:cs="Arial"/>
          <w:i/>
        </w:rPr>
        <w:t>)),</w:t>
      </w:r>
      <w:r w:rsidR="00EA5F1F">
        <w:rPr>
          <w:rFonts w:ascii="Arial" w:hAnsi="Arial" w:cs="Arial"/>
        </w:rPr>
        <w:t xml:space="preserve"> but it should be uniformly required across the state if delivery is allowed. </w:t>
      </w:r>
    </w:p>
    <w:p w14:paraId="7DF1F5CF" w14:textId="77777777" w:rsidR="005A0FCA" w:rsidRPr="00714047" w:rsidRDefault="005A0FCA" w:rsidP="001927FE">
      <w:pPr>
        <w:tabs>
          <w:tab w:val="left" w:pos="360"/>
        </w:tabs>
        <w:spacing w:after="120"/>
        <w:jc w:val="both"/>
        <w:rPr>
          <w:rFonts w:ascii="Arial" w:hAnsi="Arial" w:cs="Arial"/>
        </w:rPr>
      </w:pPr>
    </w:p>
    <w:p w14:paraId="6C2F58FF" w14:textId="7A05DB96" w:rsidR="00714047" w:rsidRPr="00714047" w:rsidRDefault="00714047" w:rsidP="001927FE">
      <w:pPr>
        <w:pStyle w:val="ListParagraph"/>
        <w:numPr>
          <w:ilvl w:val="0"/>
          <w:numId w:val="10"/>
        </w:numPr>
        <w:tabs>
          <w:tab w:val="left" w:pos="360"/>
        </w:tabs>
        <w:spacing w:after="120"/>
        <w:jc w:val="both"/>
        <w:rPr>
          <w:rFonts w:ascii="Arial" w:hAnsi="Arial" w:cs="Arial"/>
          <w:i/>
        </w:rPr>
      </w:pPr>
      <w:r w:rsidRPr="00714047">
        <w:rPr>
          <w:rFonts w:ascii="Arial" w:hAnsi="Arial" w:cs="Arial"/>
          <w:i/>
        </w:rPr>
        <w:t>§ 5025. Premises (c)(3) No cannabis goods shall be sold and/or delivered by any means or method to any person within a motor vehicle.</w:t>
      </w:r>
    </w:p>
    <w:p w14:paraId="137254A6" w14:textId="01529DA2" w:rsidR="00687DCF" w:rsidRDefault="005C5C9C" w:rsidP="001927FE">
      <w:pPr>
        <w:ind w:right="-720"/>
        <w:jc w:val="both"/>
        <w:rPr>
          <w:rFonts w:ascii="Arial" w:hAnsi="Arial" w:cs="Arial"/>
        </w:rPr>
      </w:pPr>
      <w:r>
        <w:rPr>
          <w:rFonts w:ascii="Arial" w:hAnsi="Arial" w:cs="Arial"/>
        </w:rPr>
        <w:t>Mobile locations</w:t>
      </w:r>
      <w:r w:rsidR="00EA5F1F">
        <w:rPr>
          <w:rFonts w:ascii="Arial" w:hAnsi="Arial" w:cs="Arial"/>
        </w:rPr>
        <w:t xml:space="preserve"> or allowing the customer to enter a mobile vehicle for delivery</w:t>
      </w:r>
      <w:r>
        <w:rPr>
          <w:rFonts w:ascii="Arial" w:hAnsi="Arial" w:cs="Arial"/>
        </w:rPr>
        <w:t xml:space="preserve"> present serious obstacles to enforcement of not vending to youth or any other provisions. Section 5025 is a positive addition to the proposed regulations.</w:t>
      </w:r>
    </w:p>
    <w:p w14:paraId="00033BE1" w14:textId="77777777" w:rsidR="005C5C9C" w:rsidRDefault="005C5C9C" w:rsidP="001927FE">
      <w:pPr>
        <w:ind w:right="-720"/>
        <w:jc w:val="both"/>
        <w:rPr>
          <w:rFonts w:ascii="Arial" w:hAnsi="Arial" w:cs="Arial"/>
          <w:color w:val="000000" w:themeColor="text1"/>
        </w:rPr>
      </w:pPr>
    </w:p>
    <w:p w14:paraId="2745B9CB" w14:textId="77777777" w:rsidR="00687DCF" w:rsidRPr="00D10959" w:rsidRDefault="00687DCF" w:rsidP="001927FE">
      <w:pPr>
        <w:tabs>
          <w:tab w:val="left" w:pos="360"/>
        </w:tabs>
        <w:jc w:val="both"/>
        <w:rPr>
          <w:rFonts w:ascii="Arial" w:hAnsi="Arial" w:cs="Arial"/>
          <w:b/>
        </w:rPr>
      </w:pPr>
      <w:r w:rsidRPr="00D10959">
        <w:rPr>
          <w:rFonts w:ascii="Arial" w:hAnsi="Arial" w:cs="Arial"/>
          <w:b/>
        </w:rPr>
        <w:t>Problematic areas:</w:t>
      </w:r>
    </w:p>
    <w:p w14:paraId="6337932A" w14:textId="3B3CAF98" w:rsidR="00687DCF" w:rsidRDefault="00687DCF" w:rsidP="000269A1">
      <w:pPr>
        <w:tabs>
          <w:tab w:val="left" w:pos="360"/>
        </w:tabs>
        <w:spacing w:after="120"/>
        <w:jc w:val="both"/>
        <w:rPr>
          <w:rFonts w:ascii="Arial" w:hAnsi="Arial" w:cs="Arial"/>
        </w:rPr>
      </w:pPr>
      <w:r w:rsidRPr="00D10959">
        <w:rPr>
          <w:rFonts w:ascii="Arial" w:hAnsi="Arial" w:cs="Arial"/>
        </w:rPr>
        <w:t xml:space="preserve">There are, however, several problematic areas in the proposed </w:t>
      </w:r>
      <w:r w:rsidR="00F12A5E">
        <w:rPr>
          <w:rFonts w:ascii="Arial" w:hAnsi="Arial" w:cs="Arial"/>
        </w:rPr>
        <w:t>text of</w:t>
      </w:r>
      <w:r w:rsidRPr="00D10959">
        <w:rPr>
          <w:rFonts w:ascii="Arial" w:hAnsi="Arial" w:cs="Arial"/>
        </w:rPr>
        <w:t xml:space="preserve"> regulations that still need to be revised or strengthened:</w:t>
      </w:r>
    </w:p>
    <w:p w14:paraId="22292C7E" w14:textId="77777777" w:rsidR="000269A1" w:rsidRPr="000269A1" w:rsidRDefault="000269A1" w:rsidP="000269A1">
      <w:pPr>
        <w:tabs>
          <w:tab w:val="left" w:pos="360"/>
        </w:tabs>
        <w:spacing w:after="120"/>
        <w:jc w:val="both"/>
        <w:rPr>
          <w:rFonts w:ascii="Arial" w:hAnsi="Arial" w:cs="Arial"/>
        </w:rPr>
      </w:pPr>
    </w:p>
    <w:p w14:paraId="611A0486" w14:textId="7C92251E" w:rsidR="00DC2E66" w:rsidRPr="00DC2E66" w:rsidRDefault="00DC2E66" w:rsidP="00DC2E66">
      <w:pPr>
        <w:pStyle w:val="ListParagraph"/>
        <w:numPr>
          <w:ilvl w:val="0"/>
          <w:numId w:val="10"/>
        </w:numPr>
        <w:spacing w:after="120"/>
        <w:contextualSpacing w:val="0"/>
        <w:jc w:val="both"/>
        <w:rPr>
          <w:rFonts w:ascii="Arial" w:hAnsi="Arial" w:cs="Arial"/>
          <w:i/>
        </w:rPr>
      </w:pPr>
      <w:r w:rsidRPr="00DC2E66">
        <w:rPr>
          <w:rFonts w:ascii="Arial" w:hAnsi="Arial" w:cs="Arial"/>
          <w:i/>
        </w:rPr>
        <w:t xml:space="preserve">§ </w:t>
      </w:r>
      <w:r w:rsidRPr="00DC2E66">
        <w:rPr>
          <w:rFonts w:ascii="Arial" w:hAnsi="Arial" w:cs="Arial"/>
          <w:bCs/>
          <w:i/>
        </w:rPr>
        <w:t>5005. Personnel Prohibited from Holding Licenses</w:t>
      </w:r>
    </w:p>
    <w:p w14:paraId="7FD40049" w14:textId="1E506FB0" w:rsidR="00DC2E66" w:rsidRDefault="00DC2E66" w:rsidP="00DC2E66">
      <w:pPr>
        <w:spacing w:after="120"/>
        <w:jc w:val="both"/>
        <w:rPr>
          <w:rFonts w:ascii="Arial" w:hAnsi="Arial" w:cs="Arial"/>
          <w:color w:val="000000"/>
        </w:rPr>
      </w:pPr>
      <w:r w:rsidRPr="00DC2E66">
        <w:rPr>
          <w:rFonts w:ascii="Arial" w:hAnsi="Arial" w:cs="Arial"/>
          <w:bCs/>
          <w:color w:val="000000"/>
          <w:shd w:val="clear" w:color="auto" w:fill="FFFFFF"/>
        </w:rPr>
        <w:t xml:space="preserve">The regulations should also explicitly prohibit any cannabis licensee from maintaining a financial relationship with a physician or other prescriber involving prescribing of cannabis, including working on the premises of the licensee or in a business agreement </w:t>
      </w:r>
      <w:r>
        <w:rPr>
          <w:rFonts w:ascii="Arial" w:hAnsi="Arial" w:cs="Arial"/>
          <w:bCs/>
          <w:color w:val="000000"/>
          <w:shd w:val="clear" w:color="auto" w:fill="FFFFFF"/>
        </w:rPr>
        <w:t>with a licensee</w:t>
      </w:r>
      <w:r w:rsidRPr="00DC2E66">
        <w:rPr>
          <w:rFonts w:ascii="Arial" w:hAnsi="Arial" w:cs="Arial"/>
          <w:bCs/>
          <w:color w:val="000000"/>
          <w:shd w:val="clear" w:color="auto" w:fill="FFFFFF"/>
        </w:rPr>
        <w:t>, nor should a prescriber making recommendations for medical cannabis</w:t>
      </w:r>
      <w:r>
        <w:rPr>
          <w:rFonts w:ascii="Arial" w:hAnsi="Arial" w:cs="Arial"/>
          <w:bCs/>
          <w:color w:val="000000"/>
          <w:shd w:val="clear" w:color="auto" w:fill="FFFFFF"/>
        </w:rPr>
        <w:t xml:space="preserve"> </w:t>
      </w:r>
      <w:r w:rsidRPr="00DC2E66">
        <w:rPr>
          <w:rFonts w:ascii="Arial" w:hAnsi="Arial" w:cs="Arial"/>
          <w:bCs/>
          <w:color w:val="000000"/>
          <w:shd w:val="clear" w:color="auto" w:fill="FFFFFF"/>
        </w:rPr>
        <w:t>be an applicant, owner, director, or manager or a licensed facility. </w:t>
      </w:r>
      <w:proofErr w:type="gramStart"/>
      <w:r w:rsidRPr="00DC2E66">
        <w:rPr>
          <w:rFonts w:ascii="Arial" w:hAnsi="Arial" w:cs="Arial"/>
          <w:color w:val="000000"/>
          <w:shd w:val="clear" w:color="auto" w:fill="FFFFFF"/>
        </w:rPr>
        <w:t>These type of cannabis</w:t>
      </w:r>
      <w:proofErr w:type="gramEnd"/>
      <w:r w:rsidRPr="00DC2E66">
        <w:rPr>
          <w:rFonts w:ascii="Arial" w:hAnsi="Arial" w:cs="Arial"/>
          <w:color w:val="000000"/>
          <w:shd w:val="clear" w:color="auto" w:fill="FFFFFF"/>
        </w:rPr>
        <w:t xml:space="preserve"> prescriber conflict of interest regulations, already broadly in use in the practice of medicine, have been adopted in Berkeley, Blythe, Hayward, the City of Los Angeles, </w:t>
      </w:r>
      <w:r>
        <w:rPr>
          <w:rFonts w:ascii="Arial" w:hAnsi="Arial" w:cs="Arial"/>
          <w:color w:val="000000"/>
          <w:shd w:val="clear" w:color="auto" w:fill="FFFFFF"/>
        </w:rPr>
        <w:t>Mono County, Pasadena, City</w:t>
      </w:r>
      <w:r w:rsidR="00F03390">
        <w:rPr>
          <w:rFonts w:ascii="Arial" w:hAnsi="Arial" w:cs="Arial"/>
          <w:color w:val="000000"/>
          <w:shd w:val="clear" w:color="auto" w:fill="FFFFFF"/>
        </w:rPr>
        <w:t xml:space="preserve"> of San Diego and the City and C</w:t>
      </w:r>
      <w:r w:rsidRPr="00DC2E66">
        <w:rPr>
          <w:rFonts w:ascii="Arial" w:hAnsi="Arial" w:cs="Arial"/>
          <w:color w:val="000000"/>
          <w:shd w:val="clear" w:color="auto" w:fill="FFFFFF"/>
        </w:rPr>
        <w:t>ounty of San Francisco. </w:t>
      </w:r>
    </w:p>
    <w:p w14:paraId="1E4E2038" w14:textId="7729F8C1" w:rsidR="00DC2E66" w:rsidRDefault="00DC2E66" w:rsidP="00DC2E66">
      <w:pPr>
        <w:rPr>
          <w:rFonts w:ascii="Arial" w:hAnsi="Arial" w:cs="Arial"/>
          <w:color w:val="000000"/>
        </w:rPr>
      </w:pPr>
    </w:p>
    <w:p w14:paraId="2038F88E" w14:textId="44A41D8D" w:rsidR="003B3F2E" w:rsidRDefault="003B3F2E" w:rsidP="00DC2E66">
      <w:pPr>
        <w:rPr>
          <w:rFonts w:ascii="Arial" w:hAnsi="Arial" w:cs="Arial"/>
          <w:color w:val="000000"/>
        </w:rPr>
      </w:pPr>
    </w:p>
    <w:p w14:paraId="670E8C60" w14:textId="342C3D21" w:rsidR="003B3F2E" w:rsidRDefault="003B3F2E" w:rsidP="00DC2E66">
      <w:pPr>
        <w:rPr>
          <w:rFonts w:ascii="Arial" w:hAnsi="Arial" w:cs="Arial"/>
          <w:color w:val="000000"/>
        </w:rPr>
      </w:pPr>
    </w:p>
    <w:p w14:paraId="2031F74D" w14:textId="77777777" w:rsidR="003B3F2E" w:rsidRPr="00DC2E66" w:rsidRDefault="003B3F2E" w:rsidP="00DC2E66">
      <w:pPr>
        <w:rPr>
          <w:rFonts w:ascii="Arial" w:hAnsi="Arial" w:cs="Arial"/>
          <w:color w:val="000000"/>
        </w:rPr>
      </w:pPr>
    </w:p>
    <w:p w14:paraId="0D3557A4" w14:textId="419803BB" w:rsidR="00B673EA" w:rsidRPr="000269A1" w:rsidRDefault="007C3410" w:rsidP="000269A1">
      <w:pPr>
        <w:pStyle w:val="ListParagraph"/>
        <w:numPr>
          <w:ilvl w:val="0"/>
          <w:numId w:val="10"/>
        </w:numPr>
        <w:spacing w:after="120"/>
        <w:contextualSpacing w:val="0"/>
        <w:jc w:val="both"/>
        <w:rPr>
          <w:rFonts w:ascii="Arial" w:hAnsi="Arial" w:cs="Arial"/>
          <w:i/>
        </w:rPr>
      </w:pPr>
      <w:r w:rsidRPr="007C3410">
        <w:rPr>
          <w:rFonts w:ascii="Arial" w:hAnsi="Arial" w:cs="Arial"/>
          <w:i/>
        </w:rPr>
        <w:lastRenderedPageBreak/>
        <w:t>§ 5016. Priority Licensing</w:t>
      </w:r>
    </w:p>
    <w:p w14:paraId="27475A0B" w14:textId="307FEC2A" w:rsidR="007C3410" w:rsidRPr="00D10959" w:rsidRDefault="007C3410" w:rsidP="000269A1">
      <w:pPr>
        <w:spacing w:after="120"/>
        <w:ind w:right="-720"/>
        <w:jc w:val="both"/>
        <w:rPr>
          <w:rFonts w:ascii="Arial" w:hAnsi="Arial" w:cs="Arial"/>
        </w:rPr>
      </w:pPr>
      <w:r w:rsidRPr="00D10959">
        <w:rPr>
          <w:rFonts w:ascii="Arial" w:hAnsi="Arial" w:cs="Arial"/>
        </w:rPr>
        <w:t xml:space="preserve">Absent from the proposed </w:t>
      </w:r>
      <w:r w:rsidR="00F12A5E">
        <w:rPr>
          <w:rFonts w:ascii="Arial" w:hAnsi="Arial" w:cs="Arial"/>
        </w:rPr>
        <w:t>text of</w:t>
      </w:r>
      <w:r w:rsidRPr="00D10959">
        <w:rPr>
          <w:rFonts w:ascii="Arial" w:hAnsi="Arial" w:cs="Arial"/>
        </w:rPr>
        <w:t xml:space="preserve"> regulations are any effort to promote equity </w:t>
      </w:r>
      <w:proofErr w:type="gramStart"/>
      <w:r w:rsidRPr="00D10959">
        <w:rPr>
          <w:rFonts w:ascii="Arial" w:hAnsi="Arial" w:cs="Arial"/>
        </w:rPr>
        <w:t>to insure that</w:t>
      </w:r>
      <w:proofErr w:type="gramEnd"/>
      <w:r w:rsidRPr="00D10959">
        <w:rPr>
          <w:rFonts w:ascii="Arial" w:hAnsi="Arial" w:cs="Arial"/>
        </w:rPr>
        <w:t xml:space="preserve"> residents of communities that suffered high rates of incarceration </w:t>
      </w:r>
      <w:r>
        <w:rPr>
          <w:rFonts w:ascii="Arial" w:hAnsi="Arial" w:cs="Arial"/>
        </w:rPr>
        <w:t xml:space="preserve">and other social ill effects </w:t>
      </w:r>
      <w:r w:rsidRPr="00D10959">
        <w:rPr>
          <w:rFonts w:ascii="Arial" w:hAnsi="Arial" w:cs="Arial"/>
        </w:rPr>
        <w:t xml:space="preserve">from unequal enforcement of </w:t>
      </w:r>
      <w:r w:rsidR="00847481">
        <w:rPr>
          <w:rFonts w:ascii="Arial" w:hAnsi="Arial" w:cs="Arial"/>
        </w:rPr>
        <w:t>cannabis</w:t>
      </w:r>
      <w:r w:rsidRPr="00D10959">
        <w:rPr>
          <w:rFonts w:ascii="Arial" w:hAnsi="Arial" w:cs="Arial"/>
        </w:rPr>
        <w:t xml:space="preserve"> possession laws are able to benefit from legalization. This will have the effect of consolidating commerce supported by wealthy investors in favorable locations before low-income community members</w:t>
      </w:r>
      <w:r w:rsidR="00EA5F1F">
        <w:rPr>
          <w:rFonts w:ascii="Arial" w:hAnsi="Arial" w:cs="Arial"/>
        </w:rPr>
        <w:t xml:space="preserve"> who have historically been incarcerated for plying the s</w:t>
      </w:r>
      <w:r w:rsidR="009F105E">
        <w:rPr>
          <w:rFonts w:ascii="Arial" w:hAnsi="Arial" w:cs="Arial"/>
        </w:rPr>
        <w:t>a</w:t>
      </w:r>
      <w:r w:rsidR="00EA5F1F">
        <w:rPr>
          <w:rFonts w:ascii="Arial" w:hAnsi="Arial" w:cs="Arial"/>
        </w:rPr>
        <w:t>me trade,</w:t>
      </w:r>
      <w:r w:rsidRPr="00D10959">
        <w:rPr>
          <w:rFonts w:ascii="Arial" w:hAnsi="Arial" w:cs="Arial"/>
        </w:rPr>
        <w:t xml:space="preserve"> can feasibly develop locations. Requirements for advance licensing of premises, surety bonds and fees are all obstacles. It appears to be required to declare even juvenile convictions for </w:t>
      </w:r>
      <w:r>
        <w:rPr>
          <w:rFonts w:ascii="Arial" w:hAnsi="Arial" w:cs="Arial"/>
        </w:rPr>
        <w:t xml:space="preserve">alcohol, dangerous drugs or controlled substances </w:t>
      </w:r>
      <w:r w:rsidRPr="00D10959">
        <w:rPr>
          <w:rFonts w:ascii="Arial" w:hAnsi="Arial" w:cs="Arial"/>
        </w:rPr>
        <w:t>(§5002).</w:t>
      </w:r>
      <w:r>
        <w:rPr>
          <w:rFonts w:ascii="Arial" w:hAnsi="Arial" w:cs="Arial"/>
        </w:rPr>
        <w:t xml:space="preserve"> </w:t>
      </w:r>
      <w:r w:rsidRPr="00D10959">
        <w:rPr>
          <w:rFonts w:ascii="Arial" w:hAnsi="Arial" w:cs="Arial"/>
        </w:rPr>
        <w:t>Applications are only prioritized in the proposed regulations if from military veterans or existing dispensaries.</w:t>
      </w:r>
      <w:r w:rsidR="00387EE4">
        <w:rPr>
          <w:rFonts w:ascii="Arial" w:hAnsi="Arial" w:cs="Arial"/>
        </w:rPr>
        <w:t xml:space="preserve"> </w:t>
      </w:r>
      <w:r w:rsidR="00387EE4" w:rsidRPr="0072494C">
        <w:rPr>
          <w:rFonts w:ascii="Arial" w:hAnsi="Arial" w:cs="Arial"/>
        </w:rPr>
        <w:t>The State Cannabis Advisory Committee</w:t>
      </w:r>
      <w:r w:rsidR="0072494C" w:rsidRPr="0075536B">
        <w:rPr>
          <w:rFonts w:ascii="Arial" w:hAnsi="Arial" w:cs="Arial"/>
        </w:rPr>
        <w:t xml:space="preserve"> adopted a number of recommendations on equity in licensing including the creation of </w:t>
      </w:r>
      <w:r w:rsidR="0072494C" w:rsidRPr="00CD17F9">
        <w:rPr>
          <w:rFonts w:ascii="Arial" w:hAnsi="Arial" w:cs="Arial"/>
        </w:rPr>
        <w:t>state level equity licensing program, fee waivers, installments and deferrals, research support, access to property and premises, data collection, and local program m</w:t>
      </w:r>
      <w:r w:rsidR="0072494C" w:rsidRPr="0072494C">
        <w:rPr>
          <w:rFonts w:ascii="Arial" w:hAnsi="Arial" w:cs="Arial"/>
        </w:rPr>
        <w:t>odels</w:t>
      </w:r>
      <w:r w:rsidR="0072494C">
        <w:rPr>
          <w:rFonts w:ascii="Arial" w:hAnsi="Arial" w:cs="Arial"/>
        </w:rPr>
        <w:t>. None of these recommendations appear to have been incorporated into</w:t>
      </w:r>
      <w:r w:rsidR="00AD7828">
        <w:rPr>
          <w:rFonts w:ascii="Arial" w:hAnsi="Arial" w:cs="Arial"/>
        </w:rPr>
        <w:t xml:space="preserve"> </w:t>
      </w:r>
      <w:r w:rsidR="0075536B">
        <w:rPr>
          <w:rFonts w:ascii="Arial" w:hAnsi="Arial" w:cs="Arial"/>
        </w:rPr>
        <w:t xml:space="preserve">the proposed regulations. </w:t>
      </w:r>
    </w:p>
    <w:p w14:paraId="3C02C71F" w14:textId="5FCDE92B" w:rsidR="007C3410" w:rsidRPr="00D10959" w:rsidRDefault="007C3410" w:rsidP="000269A1">
      <w:pPr>
        <w:spacing w:after="120"/>
        <w:ind w:right="-720"/>
        <w:jc w:val="both"/>
        <w:rPr>
          <w:rFonts w:ascii="Arial" w:hAnsi="Arial" w:cs="Arial"/>
        </w:rPr>
      </w:pPr>
      <w:r w:rsidRPr="00D10959">
        <w:rPr>
          <w:rFonts w:ascii="Arial" w:hAnsi="Arial" w:cs="Arial"/>
        </w:rPr>
        <w:t xml:space="preserve">To avoid transfer of wealth from low-income communities to wealthy investors, we strongly recommend that a category of equity applicant be </w:t>
      </w:r>
      <w:r>
        <w:rPr>
          <w:rFonts w:ascii="Arial" w:hAnsi="Arial" w:cs="Arial"/>
        </w:rPr>
        <w:t>defined</w:t>
      </w:r>
      <w:r w:rsidRPr="00D10959">
        <w:rPr>
          <w:rFonts w:ascii="Arial" w:hAnsi="Arial" w:cs="Arial"/>
        </w:rPr>
        <w:t>, related to</w:t>
      </w:r>
      <w:r>
        <w:rPr>
          <w:rFonts w:ascii="Arial" w:hAnsi="Arial" w:cs="Arial"/>
        </w:rPr>
        <w:t xml:space="preserve"> </w:t>
      </w:r>
      <w:r w:rsidRPr="00D10959">
        <w:rPr>
          <w:rFonts w:ascii="Arial" w:hAnsi="Arial" w:cs="Arial"/>
        </w:rPr>
        <w:t xml:space="preserve">majority ownership by person(s) in communities with high rates of </w:t>
      </w:r>
      <w:r>
        <w:rPr>
          <w:rFonts w:ascii="Arial" w:hAnsi="Arial" w:cs="Arial"/>
        </w:rPr>
        <w:t>cannabis</w:t>
      </w:r>
      <w:r w:rsidRPr="00D10959">
        <w:rPr>
          <w:rFonts w:ascii="Arial" w:hAnsi="Arial" w:cs="Arial"/>
        </w:rPr>
        <w:t xml:space="preserve"> related incarceration, and</w:t>
      </w:r>
      <w:r>
        <w:rPr>
          <w:rFonts w:ascii="Arial" w:hAnsi="Arial" w:cs="Arial"/>
        </w:rPr>
        <w:t xml:space="preserve"> </w:t>
      </w:r>
      <w:r w:rsidRPr="00D10959">
        <w:rPr>
          <w:rFonts w:ascii="Arial" w:hAnsi="Arial" w:cs="Arial"/>
        </w:rPr>
        <w:t xml:space="preserve">that at least 50% of all </w:t>
      </w:r>
      <w:r w:rsidR="00594D83">
        <w:rPr>
          <w:rFonts w:ascii="Arial" w:hAnsi="Arial" w:cs="Arial"/>
        </w:rPr>
        <w:t xml:space="preserve">state </w:t>
      </w:r>
      <w:r w:rsidRPr="00D10959">
        <w:rPr>
          <w:rFonts w:ascii="Arial" w:hAnsi="Arial" w:cs="Arial"/>
        </w:rPr>
        <w:t xml:space="preserve">licenses be </w:t>
      </w:r>
      <w:r w:rsidR="00594D83">
        <w:rPr>
          <w:rFonts w:ascii="Arial" w:hAnsi="Arial" w:cs="Arial"/>
        </w:rPr>
        <w:t xml:space="preserve">reserved for and </w:t>
      </w:r>
      <w:r w:rsidRPr="00D10959">
        <w:rPr>
          <w:rFonts w:ascii="Arial" w:hAnsi="Arial" w:cs="Arial"/>
        </w:rPr>
        <w:t>issued to applicants from these categories. Th</w:t>
      </w:r>
      <w:r>
        <w:rPr>
          <w:rFonts w:ascii="Arial" w:hAnsi="Arial" w:cs="Arial"/>
        </w:rPr>
        <w:t xml:space="preserve">e ability to defer fees by one </w:t>
      </w:r>
      <w:r w:rsidRPr="00D10959">
        <w:rPr>
          <w:rFonts w:ascii="Arial" w:hAnsi="Arial" w:cs="Arial"/>
        </w:rPr>
        <w:t>year, and to use a staged licensing process that allows preliminary approval pending confirmation of premises, as is being considered in some jurisdictions, would allow lower income applicants to secure an expensive premise only when there is a reasonable basis to believe that a license would be forthcoming.</w:t>
      </w:r>
      <w:r>
        <w:rPr>
          <w:rFonts w:ascii="Arial" w:hAnsi="Arial" w:cs="Arial"/>
        </w:rPr>
        <w:t xml:space="preserve"> </w:t>
      </w:r>
    </w:p>
    <w:p w14:paraId="519DB439" w14:textId="6F22FFA9" w:rsidR="007C3410" w:rsidRPr="00D10959" w:rsidRDefault="0075536B" w:rsidP="000269A1">
      <w:pPr>
        <w:spacing w:after="120"/>
        <w:ind w:right="-720"/>
        <w:jc w:val="both"/>
        <w:rPr>
          <w:rFonts w:ascii="Arial" w:hAnsi="Arial" w:cs="Arial"/>
        </w:rPr>
      </w:pPr>
      <w:r>
        <w:rPr>
          <w:rFonts w:ascii="Arial" w:hAnsi="Arial" w:cs="Arial"/>
        </w:rPr>
        <w:t>Continuing f</w:t>
      </w:r>
      <w:r w:rsidR="007C3410" w:rsidRPr="00D10959">
        <w:rPr>
          <w:rFonts w:ascii="Arial" w:hAnsi="Arial" w:cs="Arial"/>
        </w:rPr>
        <w:t>ailure to address the</w:t>
      </w:r>
      <w:r w:rsidR="007C3410">
        <w:rPr>
          <w:rFonts w:ascii="Arial" w:hAnsi="Arial" w:cs="Arial"/>
        </w:rPr>
        <w:t xml:space="preserve"> </w:t>
      </w:r>
      <w:r w:rsidR="007C3410" w:rsidRPr="00D10959">
        <w:rPr>
          <w:rFonts w:ascii="Arial" w:hAnsi="Arial" w:cs="Arial"/>
        </w:rPr>
        <w:t xml:space="preserve">fundamental issue of equity is another reason why large </w:t>
      </w:r>
      <w:proofErr w:type="gramStart"/>
      <w:r w:rsidR="007C3410" w:rsidRPr="00D10959">
        <w:rPr>
          <w:rFonts w:ascii="Arial" w:hAnsi="Arial" w:cs="Arial"/>
        </w:rPr>
        <w:t>numbers</w:t>
      </w:r>
      <w:proofErr w:type="gramEnd"/>
      <w:r w:rsidR="007C3410" w:rsidRPr="00D10959">
        <w:rPr>
          <w:rFonts w:ascii="Arial" w:hAnsi="Arial" w:cs="Arial"/>
        </w:rPr>
        <w:t xml:space="preserve"> of licenses should not be rapidly</w:t>
      </w:r>
      <w:r w:rsidR="007C3410">
        <w:rPr>
          <w:rFonts w:ascii="Arial" w:hAnsi="Arial" w:cs="Arial"/>
        </w:rPr>
        <w:t xml:space="preserve"> </w:t>
      </w:r>
      <w:r w:rsidR="007C3410" w:rsidRPr="00D10959">
        <w:rPr>
          <w:rFonts w:ascii="Arial" w:hAnsi="Arial" w:cs="Arial"/>
        </w:rPr>
        <w:t xml:space="preserve">issued pursuant to these </w:t>
      </w:r>
      <w:r w:rsidR="007C3410">
        <w:rPr>
          <w:rFonts w:ascii="Arial" w:hAnsi="Arial" w:cs="Arial"/>
        </w:rPr>
        <w:t>proposed regulations, if unchanged.</w:t>
      </w:r>
    </w:p>
    <w:p w14:paraId="3C8902E7" w14:textId="79770DAE" w:rsidR="007C3410" w:rsidRDefault="007C3410" w:rsidP="002A559B">
      <w:pPr>
        <w:ind w:right="-720"/>
        <w:rPr>
          <w:rFonts w:ascii="Arial" w:hAnsi="Arial" w:cs="Arial"/>
          <w:color w:val="000000" w:themeColor="text1"/>
        </w:rPr>
      </w:pPr>
    </w:p>
    <w:p w14:paraId="4D6BD096" w14:textId="45C6DBBB" w:rsidR="00FB492E" w:rsidRPr="00FB492E" w:rsidRDefault="00154A51" w:rsidP="000269A1">
      <w:pPr>
        <w:pStyle w:val="ListParagraph"/>
        <w:numPr>
          <w:ilvl w:val="0"/>
          <w:numId w:val="7"/>
        </w:numPr>
        <w:spacing w:after="120"/>
        <w:ind w:right="-720"/>
        <w:contextualSpacing w:val="0"/>
        <w:rPr>
          <w:rFonts w:ascii="Arial" w:hAnsi="Arial" w:cs="Arial"/>
          <w:i/>
          <w:color w:val="000000" w:themeColor="text1"/>
        </w:rPr>
      </w:pPr>
      <w:r w:rsidRPr="00FB492E">
        <w:rPr>
          <w:rFonts w:ascii="Arial" w:hAnsi="Arial" w:cs="Arial"/>
          <w:i/>
          <w:color w:val="000000" w:themeColor="text1"/>
        </w:rPr>
        <w:t>§ 5019. Excessive Concentration</w:t>
      </w:r>
      <w:r w:rsidR="00302214" w:rsidRPr="00FB492E">
        <w:rPr>
          <w:rFonts w:ascii="Arial" w:hAnsi="Arial" w:cs="Arial"/>
          <w:i/>
          <w:color w:val="000000" w:themeColor="text1"/>
        </w:rPr>
        <w:t>.</w:t>
      </w:r>
    </w:p>
    <w:p w14:paraId="0BCBAAF4" w14:textId="78E86747" w:rsidR="003B38DF" w:rsidRPr="000269A1" w:rsidRDefault="00302214" w:rsidP="000269A1">
      <w:pPr>
        <w:spacing w:after="120"/>
        <w:ind w:right="-720"/>
        <w:jc w:val="both"/>
        <w:rPr>
          <w:rFonts w:ascii="Arial" w:hAnsi="Arial" w:cs="Arial"/>
        </w:rPr>
      </w:pPr>
      <w:r w:rsidRPr="00FB492E">
        <w:rPr>
          <w:rFonts w:ascii="Arial" w:hAnsi="Arial" w:cs="Arial"/>
        </w:rPr>
        <w:t>There is no limit set on the number of retailers that can be licensed.</w:t>
      </w:r>
      <w:r w:rsidR="00714047">
        <w:rPr>
          <w:rFonts w:ascii="Arial" w:hAnsi="Arial" w:cs="Arial"/>
        </w:rPr>
        <w:t xml:space="preserve"> </w:t>
      </w:r>
      <w:r w:rsidR="00714047" w:rsidRPr="00D10959">
        <w:rPr>
          <w:rFonts w:ascii="Arial" w:hAnsi="Arial" w:cs="Arial"/>
          <w:color w:val="000000"/>
          <w:shd w:val="clear" w:color="auto" w:fill="FFFFFF"/>
        </w:rPr>
        <w:t>Legalizing cannabis without creating an excess density of cannabis outlets, or an excess of sites concentrated on vulnerable communities as has traditionally occurred with tobacco and alcohol outlets, is a</w:t>
      </w:r>
      <w:r w:rsidR="00594D83">
        <w:rPr>
          <w:rFonts w:ascii="Arial" w:hAnsi="Arial" w:cs="Arial"/>
          <w:color w:val="000000"/>
          <w:shd w:val="clear" w:color="auto" w:fill="FFFFFF"/>
        </w:rPr>
        <w:t xml:space="preserve"> critically</w:t>
      </w:r>
      <w:r w:rsidR="00635516">
        <w:rPr>
          <w:rFonts w:ascii="Arial" w:hAnsi="Arial" w:cs="Arial"/>
          <w:color w:val="000000"/>
          <w:shd w:val="clear" w:color="auto" w:fill="FFFFFF"/>
        </w:rPr>
        <w:t xml:space="preserve"> </w:t>
      </w:r>
      <w:r w:rsidR="00714047" w:rsidRPr="00D10959">
        <w:rPr>
          <w:rFonts w:ascii="Arial" w:hAnsi="Arial" w:cs="Arial"/>
          <w:color w:val="000000"/>
          <w:shd w:val="clear" w:color="auto" w:fill="FFFFFF"/>
        </w:rPr>
        <w:t xml:space="preserve">important part of getting cannabis legalization right. </w:t>
      </w:r>
      <w:r w:rsidR="003B38DF" w:rsidRPr="005C6252">
        <w:rPr>
          <w:rFonts w:ascii="Arial" w:hAnsi="Arial" w:cs="Arial"/>
        </w:rPr>
        <w:t>A recent study found that higher dispensary density in states with legal cannabis laws was associated with higher likelihood of youth ages 14-18 experimenting with cannabis vaping and edibles (</w:t>
      </w:r>
      <w:proofErr w:type="spellStart"/>
      <w:r w:rsidR="003B38DF" w:rsidRPr="005C6252">
        <w:rPr>
          <w:rFonts w:ascii="Arial" w:hAnsi="Arial" w:cs="Arial"/>
        </w:rPr>
        <w:t>OR</w:t>
      </w:r>
      <w:r w:rsidR="003B38DF" w:rsidRPr="005C6252">
        <w:rPr>
          <w:rFonts w:ascii="Arial" w:hAnsi="Arial" w:cs="Arial"/>
          <w:vertAlign w:val="subscript"/>
        </w:rPr>
        <w:t>vaping</w:t>
      </w:r>
      <w:proofErr w:type="spellEnd"/>
      <w:r w:rsidR="003B38DF" w:rsidRPr="005C6252">
        <w:rPr>
          <w:rFonts w:ascii="Arial" w:hAnsi="Arial" w:cs="Arial"/>
        </w:rPr>
        <w:t xml:space="preserve">: 2.68, 95% CI: 2.12, 3.38; </w:t>
      </w:r>
      <w:proofErr w:type="spellStart"/>
      <w:r w:rsidR="003B38DF" w:rsidRPr="005C6252">
        <w:rPr>
          <w:rFonts w:ascii="Arial" w:hAnsi="Arial" w:cs="Arial"/>
        </w:rPr>
        <w:t>OR</w:t>
      </w:r>
      <w:r w:rsidR="003B38DF" w:rsidRPr="005C6252">
        <w:rPr>
          <w:rFonts w:ascii="Arial" w:hAnsi="Arial" w:cs="Arial"/>
          <w:vertAlign w:val="subscript"/>
        </w:rPr>
        <w:t>edibles</w:t>
      </w:r>
      <w:proofErr w:type="spellEnd"/>
      <w:r w:rsidR="003B38DF" w:rsidRPr="005C6252">
        <w:rPr>
          <w:rFonts w:ascii="Arial" w:hAnsi="Arial" w:cs="Arial"/>
        </w:rPr>
        <w:t>: 3.31, 95% CI: 2.56, 4.26). Even density of legal cannabis dispensaries as low as 1/100,000 residents were associated with increases.</w:t>
      </w:r>
      <w:r w:rsidR="003B38DF">
        <w:rPr>
          <w:rStyle w:val="FootnoteReference"/>
          <w:rFonts w:ascii="Arial" w:hAnsi="Arial" w:cs="Arial"/>
        </w:rPr>
        <w:footnoteReference w:id="19"/>
      </w:r>
      <w:r w:rsidR="003B38DF" w:rsidRPr="005C6252">
        <w:rPr>
          <w:rFonts w:ascii="Arial" w:hAnsi="Arial" w:cs="Arial"/>
        </w:rPr>
        <w:t xml:space="preserve"> Similarly, a review of studies of tobacco retailer density and adolescent smoking found that</w:t>
      </w:r>
      <w:r w:rsidR="003B38DF" w:rsidRPr="005C6252">
        <w:rPr>
          <w:rFonts w:ascii="Arial" w:hAnsi="Arial" w:cs="Arial"/>
          <w:shd w:val="clear" w:color="auto" w:fill="FFFFFF"/>
        </w:rPr>
        <w:t xml:space="preserve"> tobacco retailer </w:t>
      </w:r>
      <w:r w:rsidR="003B38DF" w:rsidRPr="005C6252">
        <w:rPr>
          <w:rFonts w:ascii="Arial" w:hAnsi="Arial" w:cs="Arial"/>
          <w:bCs/>
          <w:shd w:val="clear" w:color="auto" w:fill="FFFFFF"/>
        </w:rPr>
        <w:t>density</w:t>
      </w:r>
      <w:r w:rsidR="003B38DF" w:rsidRPr="005C6252">
        <w:rPr>
          <w:rFonts w:ascii="Arial" w:hAnsi="Arial" w:cs="Arial"/>
          <w:shd w:val="clear" w:color="auto" w:fill="FFFFFF"/>
        </w:rPr>
        <w:t> and proximity were correlated with adolescent lifetime smoking, past 12-month smoking, past 30-day smoking, and susceptibility to smoking.</w:t>
      </w:r>
      <w:r w:rsidR="003B38DF">
        <w:rPr>
          <w:rStyle w:val="FootnoteReference"/>
          <w:rFonts w:ascii="Arial" w:hAnsi="Arial" w:cs="Arial"/>
          <w:shd w:val="clear" w:color="auto" w:fill="FFFFFF"/>
        </w:rPr>
        <w:footnoteReference w:id="20"/>
      </w:r>
      <w:r w:rsidR="003B38DF" w:rsidRPr="005C6252">
        <w:rPr>
          <w:rFonts w:ascii="Arial" w:hAnsi="Arial" w:cs="Arial"/>
          <w:shd w:val="clear" w:color="auto" w:fill="FFFFFF"/>
        </w:rPr>
        <w:t xml:space="preserve"> Studies have consistently found a relationship between greater alcohol outlet </w:t>
      </w:r>
      <w:r w:rsidR="003B38DF" w:rsidRPr="005C6252">
        <w:rPr>
          <w:rFonts w:ascii="Arial" w:hAnsi="Arial" w:cs="Arial"/>
          <w:bCs/>
          <w:shd w:val="clear" w:color="auto" w:fill="FFFFFF"/>
        </w:rPr>
        <w:t>density</w:t>
      </w:r>
      <w:r w:rsidR="003B38DF" w:rsidRPr="005C6252">
        <w:rPr>
          <w:rFonts w:ascii="Arial" w:hAnsi="Arial" w:cs="Arial"/>
          <w:shd w:val="clear" w:color="auto" w:fill="FFFFFF"/>
        </w:rPr>
        <w:t xml:space="preserve"> with </w:t>
      </w:r>
      <w:r w:rsidR="003B38DF" w:rsidRPr="00D10959">
        <w:rPr>
          <w:rFonts w:ascii="Arial" w:hAnsi="Arial" w:cs="Arial"/>
          <w:color w:val="000000"/>
          <w:shd w:val="clear" w:color="auto" w:fill="FFFFFF"/>
        </w:rPr>
        <w:t>increased </w:t>
      </w:r>
      <w:r w:rsidR="003B38DF" w:rsidRPr="00671493">
        <w:rPr>
          <w:rFonts w:ascii="Arial" w:hAnsi="Arial" w:cs="Arial"/>
          <w:bCs/>
          <w:color w:val="000000"/>
          <w:shd w:val="clear" w:color="auto" w:fill="FFFFFF"/>
        </w:rPr>
        <w:t>alcohol</w:t>
      </w:r>
      <w:r w:rsidR="003B38DF" w:rsidRPr="00671493">
        <w:rPr>
          <w:rFonts w:ascii="Arial" w:hAnsi="Arial" w:cs="Arial"/>
          <w:color w:val="000000"/>
          <w:shd w:val="clear" w:color="auto" w:fill="FFFFFF"/>
        </w:rPr>
        <w:t xml:space="preserve"> consumption and related harms, including medical </w:t>
      </w:r>
      <w:r w:rsidR="003B38DF" w:rsidRPr="00671493">
        <w:rPr>
          <w:rFonts w:ascii="Arial" w:hAnsi="Arial" w:cs="Arial"/>
          <w:color w:val="000000"/>
          <w:shd w:val="clear" w:color="auto" w:fill="FFFFFF"/>
        </w:rPr>
        <w:lastRenderedPageBreak/>
        <w:t>harms, injury, crime, and violence.</w:t>
      </w:r>
      <w:r w:rsidR="003B38DF" w:rsidRPr="00671493">
        <w:rPr>
          <w:rStyle w:val="FootnoteReference"/>
          <w:rFonts w:ascii="Arial" w:hAnsi="Arial" w:cs="Arial"/>
          <w:color w:val="000000"/>
          <w:shd w:val="clear" w:color="auto" w:fill="FFFFFF"/>
        </w:rPr>
        <w:footnoteReference w:id="21"/>
      </w:r>
      <w:r w:rsidR="003B38DF">
        <w:rPr>
          <w:rFonts w:ascii="Arial" w:hAnsi="Arial" w:cs="Arial"/>
          <w:color w:val="000000"/>
          <w:shd w:val="clear" w:color="auto" w:fill="FFFFFF"/>
        </w:rPr>
        <w:t xml:space="preserve"> </w:t>
      </w:r>
      <w:r w:rsidR="003B38DF" w:rsidRPr="00671493">
        <w:rPr>
          <w:rFonts w:ascii="Arial" w:hAnsi="Arial" w:cs="Arial"/>
          <w:bCs/>
          <w:color w:val="000000"/>
          <w:shd w:val="clear" w:color="auto" w:fill="FFFFFF"/>
        </w:rPr>
        <w:t>Alcohol</w:t>
      </w:r>
      <w:r w:rsidR="003B38DF" w:rsidRPr="00671493">
        <w:rPr>
          <w:rFonts w:ascii="Arial" w:hAnsi="Arial" w:cs="Arial"/>
          <w:color w:val="000000"/>
          <w:shd w:val="clear" w:color="auto" w:fill="FFFFFF"/>
        </w:rPr>
        <w:t> </w:t>
      </w:r>
      <w:r w:rsidR="003B38DF" w:rsidRPr="00671493">
        <w:rPr>
          <w:rFonts w:ascii="Arial" w:hAnsi="Arial" w:cs="Arial"/>
          <w:bCs/>
          <w:color w:val="000000"/>
          <w:shd w:val="clear" w:color="auto" w:fill="FFFFFF"/>
        </w:rPr>
        <w:t>outlet</w:t>
      </w:r>
      <w:r w:rsidR="003B38DF" w:rsidRPr="00671493">
        <w:rPr>
          <w:rFonts w:ascii="Arial" w:hAnsi="Arial" w:cs="Arial"/>
          <w:color w:val="000000"/>
          <w:shd w:val="clear" w:color="auto" w:fill="FFFFFF"/>
        </w:rPr>
        <w:t> </w:t>
      </w:r>
      <w:r w:rsidR="003B38DF" w:rsidRPr="00671493">
        <w:rPr>
          <w:rFonts w:ascii="Arial" w:hAnsi="Arial" w:cs="Arial"/>
          <w:bCs/>
          <w:color w:val="000000"/>
          <w:shd w:val="clear" w:color="auto" w:fill="FFFFFF"/>
        </w:rPr>
        <w:t>density</w:t>
      </w:r>
      <w:r w:rsidR="003B38DF" w:rsidRPr="00671493">
        <w:rPr>
          <w:rFonts w:ascii="Arial" w:hAnsi="Arial" w:cs="Arial"/>
          <w:color w:val="000000"/>
          <w:shd w:val="clear" w:color="auto" w:fill="FFFFFF"/>
        </w:rPr>
        <w:t> has been found to be highly relevant to the amount of </w:t>
      </w:r>
      <w:r w:rsidR="003B38DF" w:rsidRPr="00671493">
        <w:rPr>
          <w:rFonts w:ascii="Arial" w:hAnsi="Arial" w:cs="Arial"/>
          <w:bCs/>
          <w:color w:val="000000"/>
          <w:shd w:val="clear" w:color="auto" w:fill="FFFFFF"/>
        </w:rPr>
        <w:t>alcohol</w:t>
      </w:r>
      <w:r w:rsidR="003B38DF" w:rsidRPr="00671493">
        <w:rPr>
          <w:rFonts w:ascii="Arial" w:hAnsi="Arial" w:cs="Arial"/>
          <w:color w:val="000000"/>
          <w:shd w:val="clear" w:color="auto" w:fill="FFFFFF"/>
        </w:rPr>
        <w:t> teens consume and therefore to teens' impaired driving. Policies such as those regulating the age of bartenders, sellers, or servers</w:t>
      </w:r>
      <w:r w:rsidR="003B38DF">
        <w:rPr>
          <w:rFonts w:ascii="Arial" w:hAnsi="Arial" w:cs="Arial"/>
          <w:color w:val="000000"/>
          <w:shd w:val="clear" w:color="auto" w:fill="FFFFFF"/>
        </w:rPr>
        <w:t>,</w:t>
      </w:r>
      <w:r w:rsidR="003B38DF" w:rsidRPr="00671493">
        <w:rPr>
          <w:rFonts w:ascii="Arial" w:hAnsi="Arial" w:cs="Arial"/>
          <w:color w:val="000000"/>
          <w:shd w:val="clear" w:color="auto" w:fill="FFFFFF"/>
        </w:rPr>
        <w:t xml:space="preserve"> </w:t>
      </w:r>
      <w:r w:rsidR="003B38DF">
        <w:rPr>
          <w:rFonts w:ascii="Arial" w:hAnsi="Arial" w:cs="Arial"/>
          <w:color w:val="000000"/>
          <w:shd w:val="clear" w:color="auto" w:fill="FFFFFF"/>
        </w:rPr>
        <w:t xml:space="preserve">and </w:t>
      </w:r>
      <w:r w:rsidR="003B38DF" w:rsidRPr="00671493">
        <w:rPr>
          <w:rFonts w:ascii="Arial" w:hAnsi="Arial" w:cs="Arial"/>
          <w:color w:val="000000"/>
          <w:shd w:val="clear" w:color="auto" w:fill="FFFFFF"/>
        </w:rPr>
        <w:t>social host civil liability laws</w:t>
      </w:r>
      <w:r w:rsidR="003B38DF">
        <w:rPr>
          <w:rFonts w:ascii="Arial" w:hAnsi="Arial" w:cs="Arial"/>
          <w:color w:val="000000"/>
          <w:shd w:val="clear" w:color="auto" w:fill="FFFFFF"/>
        </w:rPr>
        <w:t>,</w:t>
      </w:r>
      <w:r w:rsidR="003B38DF" w:rsidRPr="00671493">
        <w:rPr>
          <w:rFonts w:ascii="Arial" w:hAnsi="Arial" w:cs="Arial"/>
          <w:color w:val="000000"/>
          <w:shd w:val="clear" w:color="auto" w:fill="FFFFFF"/>
        </w:rPr>
        <w:t xml:space="preserve"> do not appear to have the same impact on teens' </w:t>
      </w:r>
      <w:r w:rsidR="003B38DF" w:rsidRPr="00671493">
        <w:rPr>
          <w:rFonts w:ascii="Arial" w:hAnsi="Arial" w:cs="Arial"/>
          <w:bCs/>
          <w:color w:val="000000"/>
          <w:shd w:val="clear" w:color="auto" w:fill="FFFFFF"/>
        </w:rPr>
        <w:t>alcohol</w:t>
      </w:r>
      <w:r w:rsidR="003B38DF" w:rsidRPr="00671493">
        <w:rPr>
          <w:rFonts w:ascii="Arial" w:hAnsi="Arial" w:cs="Arial"/>
          <w:color w:val="000000"/>
          <w:shd w:val="clear" w:color="auto" w:fill="FFFFFF"/>
        </w:rPr>
        <w:t xml:space="preserve">-related crash </w:t>
      </w:r>
      <w:r w:rsidR="003B38DF">
        <w:rPr>
          <w:rFonts w:ascii="Arial" w:hAnsi="Arial" w:cs="Arial"/>
          <w:color w:val="000000"/>
          <w:shd w:val="clear" w:color="auto" w:fill="FFFFFF"/>
        </w:rPr>
        <w:t>incidence</w:t>
      </w:r>
      <w:r w:rsidR="003B38DF" w:rsidRPr="00671493">
        <w:rPr>
          <w:rFonts w:ascii="Arial" w:hAnsi="Arial" w:cs="Arial"/>
          <w:color w:val="000000"/>
          <w:shd w:val="clear" w:color="auto" w:fill="FFFFFF"/>
        </w:rPr>
        <w:t xml:space="preserve"> as other types of policies such as </w:t>
      </w:r>
      <w:r w:rsidR="003B38DF">
        <w:rPr>
          <w:rFonts w:ascii="Arial" w:hAnsi="Arial" w:cs="Arial"/>
          <w:color w:val="000000"/>
          <w:shd w:val="clear" w:color="auto" w:fill="FFFFFF"/>
        </w:rPr>
        <w:t xml:space="preserve">restricting </w:t>
      </w:r>
      <w:r w:rsidR="003B38DF" w:rsidRPr="00671493">
        <w:rPr>
          <w:rFonts w:ascii="Arial" w:hAnsi="Arial" w:cs="Arial"/>
          <w:bCs/>
          <w:color w:val="000000"/>
          <w:shd w:val="clear" w:color="auto" w:fill="FFFFFF"/>
        </w:rPr>
        <w:t>alcohol</w:t>
      </w:r>
      <w:r w:rsidR="003B38DF" w:rsidRPr="00671493">
        <w:rPr>
          <w:rFonts w:ascii="Arial" w:hAnsi="Arial" w:cs="Arial"/>
          <w:color w:val="000000"/>
          <w:shd w:val="clear" w:color="auto" w:fill="FFFFFF"/>
        </w:rPr>
        <w:t> </w:t>
      </w:r>
      <w:r w:rsidR="003B38DF" w:rsidRPr="00671493">
        <w:rPr>
          <w:rFonts w:ascii="Arial" w:hAnsi="Arial" w:cs="Arial"/>
          <w:bCs/>
          <w:color w:val="000000"/>
          <w:shd w:val="clear" w:color="auto" w:fill="FFFFFF"/>
        </w:rPr>
        <w:t>outlet</w:t>
      </w:r>
      <w:r w:rsidR="003B38DF" w:rsidRPr="00671493">
        <w:rPr>
          <w:rFonts w:ascii="Arial" w:hAnsi="Arial" w:cs="Arial"/>
          <w:color w:val="000000"/>
          <w:shd w:val="clear" w:color="auto" w:fill="FFFFFF"/>
        </w:rPr>
        <w:t> </w:t>
      </w:r>
      <w:r w:rsidR="003B38DF" w:rsidRPr="00671493">
        <w:rPr>
          <w:rFonts w:ascii="Arial" w:hAnsi="Arial" w:cs="Arial"/>
          <w:bCs/>
          <w:color w:val="000000"/>
          <w:shd w:val="clear" w:color="auto" w:fill="FFFFFF"/>
        </w:rPr>
        <w:t>density</w:t>
      </w:r>
      <w:r w:rsidR="003B38DF" w:rsidRPr="00D10959">
        <w:rPr>
          <w:rFonts w:ascii="Arial" w:hAnsi="Arial" w:cs="Arial"/>
          <w:color w:val="000000"/>
          <w:shd w:val="clear" w:color="auto" w:fill="FFFFFF"/>
        </w:rPr>
        <w:t xml:space="preserve">. </w:t>
      </w:r>
    </w:p>
    <w:p w14:paraId="70F47ABF" w14:textId="4E54576B" w:rsidR="00714047" w:rsidRPr="000269A1" w:rsidRDefault="00714047" w:rsidP="000269A1">
      <w:pPr>
        <w:spacing w:after="120"/>
        <w:ind w:right="-720"/>
        <w:jc w:val="both"/>
        <w:rPr>
          <w:rFonts w:ascii="Arial" w:hAnsi="Arial" w:cs="Arial"/>
          <w:color w:val="000000"/>
          <w:shd w:val="clear" w:color="auto" w:fill="FFFFFF"/>
        </w:rPr>
      </w:pPr>
      <w:r w:rsidRPr="00D10959">
        <w:rPr>
          <w:rFonts w:ascii="Arial" w:hAnsi="Arial" w:cs="Arial"/>
          <w:color w:val="000000"/>
          <w:shd w:val="clear" w:color="auto" w:fill="FFFFFF"/>
        </w:rPr>
        <w:t xml:space="preserve">Once licenses are issued, as we know from years of tobacco and alcohol experience, it is </w:t>
      </w:r>
      <w:r w:rsidR="0075536B">
        <w:rPr>
          <w:rFonts w:ascii="Arial" w:hAnsi="Arial" w:cs="Arial"/>
          <w:color w:val="000000"/>
          <w:shd w:val="clear" w:color="auto" w:fill="FFFFFF"/>
        </w:rPr>
        <w:t>extraordinarily</w:t>
      </w:r>
      <w:r w:rsidR="00AD7828">
        <w:rPr>
          <w:rFonts w:ascii="Arial" w:hAnsi="Arial" w:cs="Arial"/>
          <w:color w:val="000000"/>
          <w:shd w:val="clear" w:color="auto" w:fill="FFFFFF"/>
        </w:rPr>
        <w:t xml:space="preserve"> </w:t>
      </w:r>
      <w:r w:rsidRPr="00D10959">
        <w:rPr>
          <w:rFonts w:ascii="Arial" w:hAnsi="Arial" w:cs="Arial"/>
          <w:color w:val="000000"/>
          <w:shd w:val="clear" w:color="auto" w:fill="FFFFFF"/>
        </w:rPr>
        <w:t xml:space="preserve">difficult to </w:t>
      </w:r>
      <w:r w:rsidR="0075536B">
        <w:rPr>
          <w:rFonts w:ascii="Arial" w:hAnsi="Arial" w:cs="Arial"/>
          <w:color w:val="000000"/>
          <w:shd w:val="clear" w:color="auto" w:fill="FFFFFF"/>
        </w:rPr>
        <w:t>revoke</w:t>
      </w:r>
      <w:r w:rsidR="0075536B" w:rsidRPr="00D10959">
        <w:rPr>
          <w:rFonts w:ascii="Arial" w:hAnsi="Arial" w:cs="Arial"/>
          <w:color w:val="000000"/>
          <w:shd w:val="clear" w:color="auto" w:fill="FFFFFF"/>
        </w:rPr>
        <w:t xml:space="preserve"> </w:t>
      </w:r>
      <w:r w:rsidRPr="00D10959">
        <w:rPr>
          <w:rFonts w:ascii="Arial" w:hAnsi="Arial" w:cs="Arial"/>
          <w:color w:val="000000"/>
          <w:shd w:val="clear" w:color="auto" w:fill="FFFFFF"/>
        </w:rPr>
        <w:t>them</w:t>
      </w:r>
      <w:r w:rsidR="0075536B">
        <w:rPr>
          <w:rFonts w:ascii="Arial" w:hAnsi="Arial" w:cs="Arial"/>
          <w:color w:val="000000"/>
          <w:shd w:val="clear" w:color="auto" w:fill="FFFFFF"/>
        </w:rPr>
        <w:t>,</w:t>
      </w:r>
      <w:r w:rsidRPr="00D10959">
        <w:rPr>
          <w:rFonts w:ascii="Arial" w:hAnsi="Arial" w:cs="Arial"/>
          <w:color w:val="000000"/>
          <w:shd w:val="clear" w:color="auto" w:fill="FFFFFF"/>
        </w:rPr>
        <w:t xml:space="preserve"> as businesses have invested in their creation. Permitting excessive outlet density to occur </w:t>
      </w:r>
      <w:r w:rsidR="0075536B">
        <w:rPr>
          <w:rFonts w:ascii="Arial" w:hAnsi="Arial" w:cs="Arial"/>
          <w:color w:val="000000"/>
          <w:shd w:val="clear" w:color="auto" w:fill="FFFFFF"/>
        </w:rPr>
        <w:t xml:space="preserve">from the start </w:t>
      </w:r>
      <w:r w:rsidR="00594D83">
        <w:rPr>
          <w:rFonts w:ascii="Arial" w:hAnsi="Arial" w:cs="Arial"/>
          <w:color w:val="000000"/>
          <w:shd w:val="clear" w:color="auto" w:fill="FFFFFF"/>
        </w:rPr>
        <w:t>represents clear negligence in</w:t>
      </w:r>
      <w:r w:rsidR="00635516">
        <w:rPr>
          <w:rFonts w:ascii="Arial" w:hAnsi="Arial" w:cs="Arial"/>
          <w:color w:val="000000"/>
          <w:shd w:val="clear" w:color="auto" w:fill="FFFFFF"/>
        </w:rPr>
        <w:t xml:space="preserve"> </w:t>
      </w:r>
      <w:r w:rsidRPr="00D10959">
        <w:rPr>
          <w:rFonts w:ascii="Arial" w:hAnsi="Arial" w:cs="Arial"/>
          <w:color w:val="000000"/>
          <w:shd w:val="clear" w:color="auto" w:fill="FFFFFF"/>
        </w:rPr>
        <w:t xml:space="preserve">public health protection in light of </w:t>
      </w:r>
      <w:r w:rsidR="0075536B">
        <w:rPr>
          <w:rFonts w:ascii="Arial" w:hAnsi="Arial" w:cs="Arial"/>
          <w:color w:val="000000"/>
          <w:shd w:val="clear" w:color="auto" w:fill="FFFFFF"/>
        </w:rPr>
        <w:t xml:space="preserve">decades of experience that provide </w:t>
      </w:r>
      <w:r w:rsidRPr="00D10959">
        <w:rPr>
          <w:rFonts w:ascii="Arial" w:hAnsi="Arial" w:cs="Arial"/>
          <w:color w:val="000000"/>
          <w:shd w:val="clear" w:color="auto" w:fill="FFFFFF"/>
        </w:rPr>
        <w:t xml:space="preserve">extensive evidence of </w:t>
      </w:r>
      <w:r w:rsidR="0075536B">
        <w:rPr>
          <w:rFonts w:ascii="Arial" w:hAnsi="Arial" w:cs="Arial"/>
          <w:color w:val="000000"/>
          <w:shd w:val="clear" w:color="auto" w:fill="FFFFFF"/>
        </w:rPr>
        <w:t xml:space="preserve">probable </w:t>
      </w:r>
      <w:r w:rsidRPr="00D10959">
        <w:rPr>
          <w:rFonts w:ascii="Arial" w:hAnsi="Arial" w:cs="Arial"/>
          <w:color w:val="000000"/>
          <w:shd w:val="clear" w:color="auto" w:fill="FFFFFF"/>
        </w:rPr>
        <w:t xml:space="preserve">harm. </w:t>
      </w:r>
    </w:p>
    <w:p w14:paraId="6CE84768" w14:textId="0688FE59" w:rsidR="003A4417" w:rsidRDefault="00714047" w:rsidP="000269A1">
      <w:pPr>
        <w:spacing w:after="120"/>
        <w:ind w:right="-720"/>
        <w:jc w:val="both"/>
        <w:rPr>
          <w:rFonts w:ascii="Arial" w:hAnsi="Arial" w:cs="Arial"/>
          <w:color w:val="000000"/>
          <w:shd w:val="clear" w:color="auto" w:fill="FFFFFF"/>
        </w:rPr>
      </w:pPr>
      <w:r>
        <w:rPr>
          <w:rFonts w:ascii="Arial" w:hAnsi="Arial" w:cs="Arial"/>
          <w:b/>
          <w:color w:val="000000"/>
          <w:shd w:val="clear" w:color="auto" w:fill="FFFFFF"/>
        </w:rPr>
        <w:t xml:space="preserve">For that </w:t>
      </w:r>
      <w:proofErr w:type="gramStart"/>
      <w:r>
        <w:rPr>
          <w:rFonts w:ascii="Arial" w:hAnsi="Arial" w:cs="Arial"/>
          <w:b/>
          <w:color w:val="000000"/>
          <w:shd w:val="clear" w:color="auto" w:fill="FFFFFF"/>
        </w:rPr>
        <w:t>reason</w:t>
      </w:r>
      <w:proofErr w:type="gramEnd"/>
      <w:r>
        <w:rPr>
          <w:rFonts w:ascii="Arial" w:hAnsi="Arial" w:cs="Arial"/>
          <w:b/>
          <w:color w:val="000000"/>
          <w:shd w:val="clear" w:color="auto" w:fill="FFFFFF"/>
        </w:rPr>
        <w:t xml:space="preserve"> we believe the proposed </w:t>
      </w:r>
      <w:r w:rsidRPr="00D10959">
        <w:rPr>
          <w:rFonts w:ascii="Arial" w:hAnsi="Arial" w:cs="Arial"/>
          <w:b/>
          <w:color w:val="000000"/>
          <w:shd w:val="clear" w:color="auto" w:fill="FFFFFF"/>
        </w:rPr>
        <w:t>regulations should under no circumstances allow an unlimited number of licenses.</w:t>
      </w:r>
      <w:r w:rsidRPr="00D10959">
        <w:rPr>
          <w:rFonts w:ascii="Arial" w:hAnsi="Arial" w:cs="Arial"/>
          <w:color w:val="000000"/>
          <w:shd w:val="clear" w:color="auto" w:fill="FFFFFF"/>
        </w:rPr>
        <w:t xml:space="preserve"> The longer-term decision on optimal density to reduce or eliminate the illegal market while minimizing harm from </w:t>
      </w:r>
      <w:r>
        <w:rPr>
          <w:rFonts w:ascii="Arial" w:hAnsi="Arial" w:cs="Arial"/>
          <w:color w:val="000000"/>
          <w:shd w:val="clear" w:color="auto" w:fill="FFFFFF"/>
        </w:rPr>
        <w:t xml:space="preserve">a </w:t>
      </w:r>
      <w:r w:rsidRPr="00D10959">
        <w:rPr>
          <w:rFonts w:ascii="Arial" w:hAnsi="Arial" w:cs="Arial"/>
          <w:color w:val="000000"/>
          <w:shd w:val="clear" w:color="auto" w:fill="FFFFFF"/>
        </w:rPr>
        <w:t>legal market should be taken only after careful study and increased gradually if appropriate. Using the same proportion as Washington</w:t>
      </w:r>
      <w:r w:rsidR="00F32F40">
        <w:rPr>
          <w:rFonts w:ascii="Arial" w:hAnsi="Arial" w:cs="Arial"/>
          <w:color w:val="000000"/>
          <w:shd w:val="clear" w:color="auto" w:fill="FFFFFF"/>
        </w:rPr>
        <w:t xml:space="preserve"> did initially</w:t>
      </w:r>
      <w:r w:rsidRPr="00D10959">
        <w:rPr>
          <w:rFonts w:ascii="Arial" w:hAnsi="Arial" w:cs="Arial"/>
          <w:color w:val="000000"/>
          <w:shd w:val="clear" w:color="auto" w:fill="FFFFFF"/>
        </w:rPr>
        <w:t>, of 1:22,000 inhabitants, would be roughly 1,784 licenses.</w:t>
      </w:r>
      <w:r>
        <w:rPr>
          <w:rFonts w:ascii="Arial" w:hAnsi="Arial" w:cs="Arial"/>
          <w:color w:val="000000"/>
          <w:shd w:val="clear" w:color="auto" w:fill="FFFFFF"/>
        </w:rPr>
        <w:t xml:space="preserve"> </w:t>
      </w:r>
      <w:r w:rsidRPr="00D10959">
        <w:rPr>
          <w:rFonts w:ascii="Arial" w:hAnsi="Arial" w:cs="Arial"/>
          <w:b/>
          <w:color w:val="000000"/>
          <w:shd w:val="clear" w:color="auto" w:fill="FFFFFF"/>
        </w:rPr>
        <w:t xml:space="preserve">We recommend that BCC </w:t>
      </w:r>
      <w:r w:rsidR="00423C84">
        <w:rPr>
          <w:rFonts w:ascii="Arial" w:hAnsi="Arial" w:cs="Arial"/>
          <w:b/>
          <w:color w:val="000000"/>
          <w:shd w:val="clear" w:color="auto" w:fill="FFFFFF"/>
        </w:rPr>
        <w:t xml:space="preserve">propose </w:t>
      </w:r>
      <w:r w:rsidRPr="00D10959">
        <w:rPr>
          <w:rFonts w:ascii="Arial" w:hAnsi="Arial" w:cs="Arial"/>
          <w:b/>
          <w:color w:val="000000"/>
          <w:shd w:val="clear" w:color="auto" w:fill="FFFFFF"/>
        </w:rPr>
        <w:t>an initial cap at no more than 1,500 retailer licenses issued statewide, and no more than 1:22,000 inhabitants in any county</w:t>
      </w:r>
      <w:r w:rsidR="00423C84">
        <w:rPr>
          <w:rFonts w:ascii="Arial" w:hAnsi="Arial" w:cs="Arial"/>
          <w:b/>
          <w:color w:val="000000"/>
          <w:shd w:val="clear" w:color="auto" w:fill="FFFFFF"/>
        </w:rPr>
        <w:t xml:space="preserve">. </w:t>
      </w:r>
      <w:r w:rsidRPr="006916AA">
        <w:rPr>
          <w:rFonts w:ascii="Arial" w:hAnsi="Arial" w:cs="Arial"/>
          <w:b/>
          <w:color w:val="000000"/>
          <w:shd w:val="clear" w:color="auto" w:fill="FFFFFF"/>
        </w:rPr>
        <w:t>We also recommend that there be a distance of at least 1,000 feet between licensed retailers</w:t>
      </w:r>
      <w:r>
        <w:rPr>
          <w:rFonts w:ascii="Arial" w:hAnsi="Arial" w:cs="Arial"/>
          <w:color w:val="000000"/>
          <w:shd w:val="clear" w:color="auto" w:fill="FFFFFF"/>
        </w:rPr>
        <w:t xml:space="preserve">. </w:t>
      </w:r>
      <w:r w:rsidRPr="00D10959">
        <w:rPr>
          <w:rFonts w:ascii="Arial" w:hAnsi="Arial" w:cs="Arial"/>
          <w:color w:val="000000"/>
          <w:shd w:val="clear" w:color="auto" w:fill="FFFFFF"/>
        </w:rPr>
        <w:t>Excessive licensing in this first period could lead to irreversible harms in some communities. The proposed conditions for denying licenses for excessive concentration (</w:t>
      </w:r>
      <w:r w:rsidRPr="00D10959">
        <w:rPr>
          <w:rFonts w:ascii="Arial" w:hAnsi="Arial" w:cs="Arial"/>
        </w:rPr>
        <w:t>§5019)</w:t>
      </w:r>
      <w:r w:rsidRPr="00D10959">
        <w:rPr>
          <w:rFonts w:ascii="Arial" w:hAnsi="Arial" w:cs="Arial"/>
          <w:color w:val="000000"/>
          <w:shd w:val="clear" w:color="auto" w:fill="FFFFFF"/>
        </w:rPr>
        <w:t xml:space="preserve"> have no absolute standard in relation to population, only in relation to other census tracts in the same county or county rules, if these exist.</w:t>
      </w:r>
      <w:r>
        <w:rPr>
          <w:rFonts w:ascii="Arial" w:hAnsi="Arial" w:cs="Arial"/>
          <w:color w:val="000000"/>
          <w:shd w:val="clear" w:color="auto" w:fill="FFFFFF"/>
        </w:rPr>
        <w:t xml:space="preserve"> </w:t>
      </w:r>
      <w:r w:rsidRPr="00D10959">
        <w:rPr>
          <w:rFonts w:ascii="Arial" w:hAnsi="Arial" w:cs="Arial"/>
          <w:color w:val="000000"/>
          <w:shd w:val="clear" w:color="auto" w:fill="FFFFFF"/>
        </w:rPr>
        <w:t xml:space="preserve">Local government needs time to consider these rules and put appropriate systems in place. There should be no risk of outlet flooding or “fait accompli” through </w:t>
      </w:r>
      <w:r w:rsidR="00594D83">
        <w:rPr>
          <w:rFonts w:ascii="Arial" w:hAnsi="Arial" w:cs="Arial"/>
          <w:color w:val="000000"/>
          <w:shd w:val="clear" w:color="auto" w:fill="FFFFFF"/>
        </w:rPr>
        <w:t xml:space="preserve">excessively lax initial </w:t>
      </w:r>
      <w:r w:rsidRPr="00D10959">
        <w:rPr>
          <w:rFonts w:ascii="Arial" w:hAnsi="Arial" w:cs="Arial"/>
          <w:color w:val="000000"/>
          <w:shd w:val="clear" w:color="auto" w:fill="FFFFFF"/>
        </w:rPr>
        <w:t>regulation.</w:t>
      </w:r>
    </w:p>
    <w:p w14:paraId="25D48AE4" w14:textId="54781CFB" w:rsidR="003A4417" w:rsidRPr="00714047" w:rsidRDefault="003A4417" w:rsidP="000269A1">
      <w:pPr>
        <w:spacing w:after="120"/>
        <w:ind w:right="-720"/>
        <w:jc w:val="both"/>
        <w:rPr>
          <w:rFonts w:ascii="Arial" w:hAnsi="Arial" w:cs="Arial"/>
          <w:color w:val="000000"/>
          <w:shd w:val="clear" w:color="auto" w:fill="FFFFFF"/>
        </w:rPr>
      </w:pPr>
      <w:r>
        <w:rPr>
          <w:rFonts w:ascii="Arial" w:hAnsi="Arial" w:cs="Arial"/>
          <w:color w:val="000000"/>
          <w:shd w:val="clear" w:color="auto" w:fill="FFFFFF"/>
        </w:rPr>
        <w:t xml:space="preserve">Several local jurisdictions are already taking the step of limiting the number of retailers in their jurisdiction. For instance, San Diego City permits a maximum of 4 retailers in each of their 9 council districts for a total of 36 retailers (max) or 1:37,000. Pasadena has likewise limited the number of retailers in its jurisdiction to approximately 1:24,000. </w:t>
      </w:r>
    </w:p>
    <w:p w14:paraId="256D581E" w14:textId="77777777" w:rsidR="00154A51" w:rsidRPr="0054635B" w:rsidRDefault="00154A51" w:rsidP="00FB492E">
      <w:pPr>
        <w:spacing w:after="120"/>
        <w:ind w:right="-720"/>
        <w:rPr>
          <w:rFonts w:ascii="Arial" w:hAnsi="Arial" w:cs="Arial"/>
          <w:color w:val="000000" w:themeColor="text1"/>
        </w:rPr>
      </w:pPr>
    </w:p>
    <w:p w14:paraId="157E3AD0" w14:textId="77777777" w:rsidR="00847481" w:rsidRPr="00847481" w:rsidRDefault="00847481" w:rsidP="00847481">
      <w:pPr>
        <w:pStyle w:val="ListParagraph"/>
        <w:numPr>
          <w:ilvl w:val="0"/>
          <w:numId w:val="7"/>
        </w:numPr>
        <w:tabs>
          <w:tab w:val="left" w:pos="720"/>
        </w:tabs>
        <w:spacing w:after="120"/>
        <w:jc w:val="both"/>
        <w:rPr>
          <w:rFonts w:ascii="Arial" w:hAnsi="Arial" w:cs="Arial"/>
          <w:i/>
        </w:rPr>
      </w:pPr>
      <w:r w:rsidRPr="00847481">
        <w:rPr>
          <w:rFonts w:ascii="Arial" w:hAnsi="Arial" w:cs="Arial"/>
          <w:i/>
        </w:rPr>
        <w:t>§ 5025. Premises</w:t>
      </w:r>
    </w:p>
    <w:p w14:paraId="26A2FE74" w14:textId="77777777" w:rsidR="00847481" w:rsidRPr="00847481" w:rsidRDefault="00847481" w:rsidP="00AD7828">
      <w:pPr>
        <w:tabs>
          <w:tab w:val="left" w:pos="720"/>
        </w:tabs>
        <w:spacing w:after="120"/>
        <w:ind w:right="-720"/>
        <w:jc w:val="both"/>
        <w:rPr>
          <w:rFonts w:ascii="Arial" w:hAnsi="Arial" w:cs="Arial"/>
        </w:rPr>
      </w:pPr>
      <w:r w:rsidRPr="00847481">
        <w:rPr>
          <w:rFonts w:ascii="Arial" w:hAnsi="Arial" w:cs="Arial"/>
        </w:rPr>
        <w:t>Mandatory warning signs should be required in stores to advise consumers of hazards of cannabis use and legal risk to immigrants.</w:t>
      </w:r>
    </w:p>
    <w:p w14:paraId="56086728" w14:textId="2E1021D0" w:rsidR="00847481" w:rsidRDefault="00847481" w:rsidP="00AD7828">
      <w:pPr>
        <w:spacing w:after="120"/>
        <w:ind w:right="-720"/>
        <w:jc w:val="both"/>
        <w:rPr>
          <w:rFonts w:ascii="Arial" w:hAnsi="Arial" w:cs="Arial"/>
          <w:color w:val="000000"/>
        </w:rPr>
      </w:pPr>
      <w:r w:rsidRPr="00D10959">
        <w:rPr>
          <w:rFonts w:ascii="Arial" w:hAnsi="Arial" w:cs="Arial"/>
          <w:color w:val="000000" w:themeColor="text1"/>
        </w:rPr>
        <w:t>Public perception of the risk of cannabis consumption have fallen dramatically in recent years</w:t>
      </w:r>
      <w:r>
        <w:rPr>
          <w:rFonts w:ascii="Arial" w:hAnsi="Arial" w:cs="Arial"/>
          <w:color w:val="000000" w:themeColor="text1"/>
        </w:rPr>
        <w:t xml:space="preserve"> from 58.3% to 31.1</w:t>
      </w:r>
      <w:r w:rsidRPr="00D10959">
        <w:rPr>
          <w:rFonts w:ascii="Arial" w:hAnsi="Arial" w:cs="Arial"/>
          <w:color w:val="000000" w:themeColor="text1"/>
        </w:rPr>
        <w:t>% of youth nationally between 2000 and 2016.</w:t>
      </w:r>
      <w:r w:rsidRPr="00D10959">
        <w:rPr>
          <w:rStyle w:val="FootnoteReference"/>
          <w:rFonts w:ascii="Arial" w:hAnsi="Arial" w:cs="Arial"/>
          <w:color w:val="000000" w:themeColor="text1"/>
        </w:rPr>
        <w:footnoteReference w:id="22"/>
      </w:r>
      <w:r w:rsidRPr="00D10959">
        <w:rPr>
          <w:rFonts w:ascii="Arial" w:hAnsi="Arial" w:cs="Arial"/>
          <w:color w:val="000000" w:themeColor="text1"/>
        </w:rPr>
        <w:t xml:space="preserve"> Consumption during pregnancy, for example, has increased</w:t>
      </w:r>
      <w:r>
        <w:rPr>
          <w:rFonts w:ascii="Arial" w:hAnsi="Arial" w:cs="Arial"/>
          <w:color w:val="000000" w:themeColor="text1"/>
        </w:rPr>
        <w:t>,</w:t>
      </w:r>
      <w:r w:rsidRPr="00D10959">
        <w:rPr>
          <w:rStyle w:val="FootnoteReference"/>
          <w:rFonts w:ascii="Arial" w:hAnsi="Arial" w:cs="Arial"/>
          <w:color w:val="000000" w:themeColor="text1"/>
        </w:rPr>
        <w:footnoteReference w:id="23"/>
      </w:r>
      <w:r>
        <w:rPr>
          <w:rFonts w:ascii="Arial" w:hAnsi="Arial" w:cs="Arial"/>
          <w:color w:val="000000" w:themeColor="text1"/>
        </w:rPr>
        <w:t xml:space="preserve"> and recent research found nearly </w:t>
      </w:r>
      <w:r w:rsidR="009F105E">
        <w:rPr>
          <w:rFonts w:ascii="Arial" w:hAnsi="Arial" w:cs="Arial"/>
          <w:color w:val="000000" w:themeColor="text1"/>
        </w:rPr>
        <w:t>70%</w:t>
      </w:r>
      <w:r w:rsidRPr="00CA70D8">
        <w:rPr>
          <w:rFonts w:ascii="Arial" w:hAnsi="Arial" w:cs="Arial"/>
          <w:color w:val="000000" w:themeColor="text1"/>
        </w:rPr>
        <w:t xml:space="preserve"> </w:t>
      </w:r>
      <w:r w:rsidR="00594D83">
        <w:rPr>
          <w:rFonts w:ascii="Arial" w:hAnsi="Arial" w:cs="Arial"/>
          <w:color w:val="000000" w:themeColor="text1"/>
        </w:rPr>
        <w:t>of dispensaries</w:t>
      </w:r>
      <w:r w:rsidRPr="00CA70D8">
        <w:rPr>
          <w:rFonts w:ascii="Arial" w:hAnsi="Arial" w:cs="Arial"/>
          <w:color w:val="000000"/>
        </w:rPr>
        <w:t xml:space="preserve"> in Colorado</w:t>
      </w:r>
      <w:r w:rsidR="00594D83">
        <w:rPr>
          <w:rFonts w:ascii="Arial" w:hAnsi="Arial" w:cs="Arial"/>
          <w:color w:val="000000"/>
        </w:rPr>
        <w:t xml:space="preserve"> responded to an inquiry from a pregnant woman recommending</w:t>
      </w:r>
      <w:r w:rsidRPr="00CA70D8">
        <w:rPr>
          <w:rFonts w:ascii="Arial" w:hAnsi="Arial" w:cs="Arial"/>
          <w:color w:val="000000"/>
        </w:rPr>
        <w:t xml:space="preserve"> </w:t>
      </w:r>
      <w:r w:rsidR="00594D83">
        <w:rPr>
          <w:rFonts w:ascii="Arial" w:hAnsi="Arial" w:cs="Arial"/>
          <w:color w:val="000000"/>
        </w:rPr>
        <w:t>use of</w:t>
      </w:r>
      <w:r w:rsidRPr="00CA70D8">
        <w:rPr>
          <w:rFonts w:ascii="Arial" w:hAnsi="Arial" w:cs="Arial"/>
          <w:color w:val="000000"/>
        </w:rPr>
        <w:t xml:space="preserve"> cannabis to treat morning sickness.</w:t>
      </w:r>
      <w:r>
        <w:rPr>
          <w:rStyle w:val="FootnoteReference"/>
          <w:rFonts w:ascii="Arial" w:hAnsi="Arial" w:cs="Arial"/>
          <w:color w:val="000000"/>
        </w:rPr>
        <w:footnoteReference w:id="24"/>
      </w:r>
      <w:r>
        <w:rPr>
          <w:rFonts w:ascii="Arial" w:hAnsi="Arial" w:cs="Arial"/>
          <w:color w:val="000000"/>
        </w:rPr>
        <w:t xml:space="preserve"> </w:t>
      </w:r>
    </w:p>
    <w:p w14:paraId="1B6A3A28" w14:textId="14AA80EF" w:rsidR="00847481" w:rsidRPr="006B6FB8" w:rsidRDefault="00847481" w:rsidP="00AD7828">
      <w:pPr>
        <w:spacing w:after="120"/>
        <w:ind w:right="-720"/>
        <w:jc w:val="both"/>
        <w:rPr>
          <w:rFonts w:ascii="Arial" w:hAnsi="Arial" w:cs="Arial"/>
          <w:color w:val="000000"/>
        </w:rPr>
      </w:pPr>
      <w:r w:rsidRPr="00D10959">
        <w:rPr>
          <w:rFonts w:ascii="Arial" w:hAnsi="Arial" w:cs="Arial"/>
          <w:color w:val="000000" w:themeColor="text1"/>
        </w:rPr>
        <w:lastRenderedPageBreak/>
        <w:t>Legal risk to consumers in certain categories persists despite state legalization. It is therefore extremely important that retailers be obligated to inform the public of the health and legal risks they may face. The best and lowest cost way to do this is through prominent point-of sale information to consumers. The tobacco and alcohol industry have long invested heavily in point of sale advertising, and that</w:t>
      </w:r>
      <w:r>
        <w:rPr>
          <w:rFonts w:ascii="Arial" w:hAnsi="Arial" w:cs="Arial"/>
          <w:color w:val="000000" w:themeColor="text1"/>
        </w:rPr>
        <w:t xml:space="preserve"> </w:t>
      </w:r>
      <w:r w:rsidRPr="00D10959">
        <w:rPr>
          <w:rFonts w:ascii="Arial" w:hAnsi="Arial" w:cs="Arial"/>
          <w:color w:val="000000" w:themeColor="text1"/>
        </w:rPr>
        <w:t>effectiveness is the same reason we must use it to inform consumers. In this way we can provide a basic public health message to every consumer who enters a retail outlet with little or no ongoing cost</w:t>
      </w:r>
      <w:r w:rsidR="0075536B">
        <w:rPr>
          <w:rFonts w:ascii="Arial" w:hAnsi="Arial" w:cs="Arial"/>
          <w:color w:val="000000" w:themeColor="text1"/>
        </w:rPr>
        <w:t>, and no cost to government.</w:t>
      </w:r>
      <w:r w:rsidRPr="00D10959">
        <w:rPr>
          <w:rFonts w:ascii="Arial" w:hAnsi="Arial" w:cs="Arial"/>
          <w:color w:val="000000" w:themeColor="text1"/>
        </w:rPr>
        <w:t xml:space="preserve"> </w:t>
      </w:r>
    </w:p>
    <w:p w14:paraId="5545D517" w14:textId="77777777" w:rsidR="00847481" w:rsidRPr="00D10959" w:rsidRDefault="00847481" w:rsidP="00AD7828">
      <w:pPr>
        <w:pStyle w:val="Default"/>
        <w:numPr>
          <w:ilvl w:val="0"/>
          <w:numId w:val="19"/>
        </w:numPr>
        <w:spacing w:after="120"/>
        <w:ind w:left="720" w:right="-720"/>
        <w:jc w:val="both"/>
        <w:rPr>
          <w:rFonts w:ascii="Arial" w:hAnsi="Arial" w:cs="Arial"/>
          <w:color w:val="000000" w:themeColor="text1"/>
        </w:rPr>
      </w:pPr>
      <w:r w:rsidRPr="00D10959">
        <w:rPr>
          <w:rFonts w:ascii="Arial" w:hAnsi="Arial" w:cs="Arial"/>
          <w:b/>
          <w:color w:val="000000" w:themeColor="text1"/>
        </w:rPr>
        <w:t>A Cannabis Retailer should be required to display a health warning sign prominently behind the main dispensing counter</w:t>
      </w:r>
      <w:r w:rsidRPr="00D10959">
        <w:rPr>
          <w:rFonts w:ascii="Arial" w:hAnsi="Arial" w:cs="Arial"/>
          <w:color w:val="000000" w:themeColor="text1"/>
        </w:rPr>
        <w:t>. The sign should be at least 3 feet by 3 feet and be displayed at eye height (i.e., with mid-point 5 feet above the floor).</w:t>
      </w:r>
      <w:r>
        <w:rPr>
          <w:rFonts w:ascii="Arial" w:hAnsi="Arial" w:cs="Arial"/>
          <w:color w:val="000000" w:themeColor="text1"/>
        </w:rPr>
        <w:t xml:space="preserve"> </w:t>
      </w:r>
      <w:r w:rsidRPr="00D10959">
        <w:rPr>
          <w:rFonts w:ascii="Arial" w:hAnsi="Arial" w:cs="Arial"/>
          <w:color w:val="000000" w:themeColor="text1"/>
        </w:rPr>
        <w:t>Black letters on a yellow</w:t>
      </w:r>
      <w:r>
        <w:rPr>
          <w:rFonts w:ascii="Arial" w:hAnsi="Arial" w:cs="Arial"/>
          <w:color w:val="000000" w:themeColor="text1"/>
        </w:rPr>
        <w:t xml:space="preserve"> </w:t>
      </w:r>
      <w:r w:rsidRPr="00D10959">
        <w:rPr>
          <w:rFonts w:ascii="Arial" w:hAnsi="Arial" w:cs="Arial"/>
          <w:color w:val="000000" w:themeColor="text1"/>
        </w:rPr>
        <w:t>background</w:t>
      </w:r>
      <w:r>
        <w:rPr>
          <w:rFonts w:ascii="Arial" w:hAnsi="Arial" w:cs="Arial"/>
          <w:color w:val="000000" w:themeColor="text1"/>
        </w:rPr>
        <w:t xml:space="preserve"> </w:t>
      </w:r>
      <w:r w:rsidRPr="00D10959">
        <w:rPr>
          <w:rFonts w:ascii="Arial" w:hAnsi="Arial" w:cs="Arial"/>
          <w:color w:val="000000" w:themeColor="text1"/>
        </w:rPr>
        <w:t xml:space="preserve">with a black border should be required. </w:t>
      </w:r>
    </w:p>
    <w:p w14:paraId="730CB4E9" w14:textId="77777777" w:rsidR="00847481" w:rsidRPr="00D10959" w:rsidRDefault="00847481" w:rsidP="00AD7828">
      <w:pPr>
        <w:pStyle w:val="Default"/>
        <w:spacing w:after="60"/>
        <w:ind w:left="720" w:right="-720" w:firstLine="360"/>
        <w:jc w:val="both"/>
        <w:rPr>
          <w:rFonts w:ascii="Arial" w:hAnsi="Arial" w:cs="Arial"/>
          <w:color w:val="000000" w:themeColor="text1"/>
        </w:rPr>
      </w:pPr>
      <w:r w:rsidRPr="00D10959">
        <w:rPr>
          <w:rFonts w:ascii="Arial" w:hAnsi="Arial" w:cs="Arial"/>
          <w:color w:val="000000" w:themeColor="text1"/>
        </w:rPr>
        <w:t>“</w:t>
      </w:r>
      <w:r w:rsidRPr="00D10959">
        <w:rPr>
          <w:rFonts w:ascii="Arial" w:hAnsi="Arial" w:cs="Arial"/>
          <w:b/>
          <w:color w:val="000000" w:themeColor="text1"/>
        </w:rPr>
        <w:t>HEALTH WARNINGS</w:t>
      </w:r>
    </w:p>
    <w:p w14:paraId="49853B84" w14:textId="77777777" w:rsidR="00847481" w:rsidRPr="00D10959" w:rsidRDefault="00847481" w:rsidP="00AD7828">
      <w:pPr>
        <w:pStyle w:val="LevelA"/>
        <w:numPr>
          <w:ilvl w:val="1"/>
          <w:numId w:val="18"/>
        </w:numPr>
        <w:suppressAutoHyphens/>
        <w:spacing w:after="60"/>
        <w:ind w:right="-720"/>
        <w:jc w:val="both"/>
        <w:rPr>
          <w:rStyle w:val="apple-converted-space"/>
          <w:rFonts w:ascii="Arial" w:hAnsi="Arial" w:cs="Arial"/>
          <w:color w:val="000000"/>
          <w:szCs w:val="24"/>
        </w:rPr>
      </w:pPr>
      <w:r w:rsidRPr="00D10959">
        <w:rPr>
          <w:rFonts w:ascii="Arial" w:hAnsi="Arial" w:cs="Arial"/>
          <w:b/>
          <w:color w:val="000000" w:themeColor="text1"/>
          <w:szCs w:val="24"/>
        </w:rPr>
        <w:t xml:space="preserve">Are you pregnant or breastfeeding? </w:t>
      </w:r>
      <w:r w:rsidRPr="00D10959">
        <w:rPr>
          <w:rFonts w:ascii="Arial" w:hAnsi="Arial" w:cs="Arial"/>
          <w:color w:val="000000" w:themeColor="text1"/>
          <w:szCs w:val="24"/>
        </w:rPr>
        <w:t xml:space="preserve">Marijuana use during pregnancy can be harmful to your baby’s health, including causing </w:t>
      </w:r>
      <w:r w:rsidRPr="00D10959">
        <w:rPr>
          <w:rStyle w:val="apple-converted-space"/>
          <w:rFonts w:ascii="Arial" w:hAnsi="Arial" w:cs="Arial"/>
          <w:szCs w:val="24"/>
        </w:rPr>
        <w:t xml:space="preserve">low birth weight and developmental problems, </w:t>
      </w:r>
      <w:r w:rsidRPr="00D10959">
        <w:rPr>
          <w:rFonts w:ascii="Arial" w:hAnsi="Arial" w:cs="Arial"/>
          <w:color w:val="000000" w:themeColor="text1"/>
          <w:szCs w:val="24"/>
        </w:rPr>
        <w:t xml:space="preserve">according to the </w:t>
      </w:r>
      <w:r w:rsidRPr="00D10959">
        <w:rPr>
          <w:rStyle w:val="apple-converted-space"/>
          <w:rFonts w:ascii="Arial" w:hAnsi="Arial" w:cs="Arial"/>
          <w:szCs w:val="24"/>
        </w:rPr>
        <w:t>U.S. Centers for Disease Control</w:t>
      </w:r>
      <w:r>
        <w:rPr>
          <w:rStyle w:val="apple-converted-space"/>
          <w:rFonts w:ascii="Arial" w:hAnsi="Arial" w:cs="Arial"/>
          <w:szCs w:val="24"/>
        </w:rPr>
        <w:t xml:space="preserve"> and Prevention </w:t>
      </w:r>
      <w:r w:rsidRPr="00D10959">
        <w:rPr>
          <w:rStyle w:val="apple-converted-space"/>
          <w:rFonts w:ascii="Arial" w:hAnsi="Arial" w:cs="Arial"/>
          <w:szCs w:val="24"/>
        </w:rPr>
        <w:t>(CDC).</w:t>
      </w:r>
    </w:p>
    <w:p w14:paraId="17490DF3" w14:textId="77777777" w:rsidR="00847481" w:rsidRPr="00D10959" w:rsidRDefault="00847481" w:rsidP="00AD7828">
      <w:pPr>
        <w:pStyle w:val="LevelA"/>
        <w:numPr>
          <w:ilvl w:val="1"/>
          <w:numId w:val="18"/>
        </w:numPr>
        <w:suppressAutoHyphens/>
        <w:spacing w:after="60"/>
        <w:ind w:right="-720"/>
        <w:jc w:val="both"/>
        <w:rPr>
          <w:rFonts w:ascii="Arial" w:hAnsi="Arial" w:cs="Arial"/>
          <w:szCs w:val="24"/>
        </w:rPr>
      </w:pPr>
      <w:r w:rsidRPr="00D10959">
        <w:rPr>
          <w:rFonts w:ascii="Arial" w:hAnsi="Arial" w:cs="Arial"/>
          <w:b/>
          <w:color w:val="000000" w:themeColor="text1"/>
          <w:szCs w:val="24"/>
        </w:rPr>
        <w:t>Driving while high is a DUI.</w:t>
      </w:r>
      <w:r w:rsidRPr="00D10959">
        <w:rPr>
          <w:rFonts w:ascii="Arial" w:hAnsi="Arial" w:cs="Arial"/>
          <w:color w:val="000000" w:themeColor="text1"/>
          <w:szCs w:val="24"/>
        </w:rPr>
        <w:t xml:space="preserve"> </w:t>
      </w:r>
      <w:r w:rsidRPr="00D10959">
        <w:rPr>
          <w:rStyle w:val="apple-converted-space"/>
          <w:rFonts w:ascii="Arial" w:hAnsi="Arial" w:cs="Arial"/>
          <w:szCs w:val="24"/>
        </w:rPr>
        <w:t xml:space="preserve">Marijuana use </w:t>
      </w:r>
      <w:r w:rsidRPr="00D10959">
        <w:rPr>
          <w:rFonts w:ascii="Arial" w:hAnsi="Arial" w:cs="Arial"/>
          <w:szCs w:val="24"/>
        </w:rPr>
        <w:t xml:space="preserve">increases your risk of motor vehicle crashes. </w:t>
      </w:r>
    </w:p>
    <w:p w14:paraId="68A8D255" w14:textId="77777777" w:rsidR="00847481" w:rsidRPr="00D10959" w:rsidRDefault="00847481" w:rsidP="00AD7828">
      <w:pPr>
        <w:pStyle w:val="LevelA"/>
        <w:numPr>
          <w:ilvl w:val="1"/>
          <w:numId w:val="18"/>
        </w:numPr>
        <w:spacing w:after="60"/>
        <w:ind w:right="-720"/>
        <w:jc w:val="both"/>
        <w:rPr>
          <w:rStyle w:val="apple-converted-space"/>
          <w:rFonts w:ascii="Arial" w:hAnsi="Arial" w:cs="Arial"/>
          <w:szCs w:val="24"/>
        </w:rPr>
      </w:pPr>
      <w:r w:rsidRPr="00D10959">
        <w:rPr>
          <w:rStyle w:val="apple-converted-space"/>
          <w:rFonts w:ascii="Arial" w:hAnsi="Arial" w:cs="Arial"/>
          <w:b/>
          <w:szCs w:val="24"/>
        </w:rPr>
        <w:t>Not for Kids or Teens!</w:t>
      </w:r>
      <w:r w:rsidRPr="00D10959">
        <w:rPr>
          <w:rStyle w:val="apple-converted-space"/>
          <w:rFonts w:ascii="Arial" w:hAnsi="Arial" w:cs="Arial"/>
          <w:szCs w:val="24"/>
        </w:rPr>
        <w:t xml:space="preserve"> Starting marijuana use young or using frequently</w:t>
      </w:r>
      <w:r>
        <w:rPr>
          <w:rStyle w:val="apple-converted-space"/>
          <w:rFonts w:ascii="Arial" w:hAnsi="Arial" w:cs="Arial"/>
          <w:szCs w:val="24"/>
        </w:rPr>
        <w:t xml:space="preserve"> </w:t>
      </w:r>
      <w:r w:rsidRPr="00D10959">
        <w:rPr>
          <w:rStyle w:val="apple-converted-space"/>
          <w:rFonts w:ascii="Arial" w:hAnsi="Arial" w:cs="Arial"/>
          <w:szCs w:val="24"/>
        </w:rPr>
        <w:t>may lead to problem use and may harm the developing teen brain.</w:t>
      </w:r>
    </w:p>
    <w:p w14:paraId="2F99E36B" w14:textId="77777777" w:rsidR="00847481" w:rsidRPr="00D10959" w:rsidRDefault="00847481" w:rsidP="00AD7828">
      <w:pPr>
        <w:pStyle w:val="LevelA"/>
        <w:numPr>
          <w:ilvl w:val="1"/>
          <w:numId w:val="18"/>
        </w:numPr>
        <w:suppressAutoHyphens/>
        <w:spacing w:after="60"/>
        <w:ind w:right="-720"/>
        <w:jc w:val="both"/>
        <w:rPr>
          <w:rStyle w:val="apple-converted-space"/>
          <w:rFonts w:ascii="Arial" w:hAnsi="Arial" w:cs="Arial"/>
          <w:szCs w:val="24"/>
        </w:rPr>
      </w:pPr>
      <w:r w:rsidRPr="00D10959">
        <w:rPr>
          <w:rStyle w:val="apple-converted-space"/>
          <w:rFonts w:ascii="Arial" w:hAnsi="Arial" w:cs="Arial"/>
          <w:szCs w:val="24"/>
        </w:rPr>
        <w:t xml:space="preserve">Marijuana use may be associated with </w:t>
      </w:r>
      <w:r w:rsidRPr="00D10959">
        <w:rPr>
          <w:rStyle w:val="apple-converted-space"/>
          <w:rFonts w:ascii="Arial" w:hAnsi="Arial" w:cs="Arial"/>
          <w:b/>
          <w:szCs w:val="24"/>
        </w:rPr>
        <w:t>greater risk of developing schizophrenia</w:t>
      </w:r>
      <w:r w:rsidRPr="00D10959">
        <w:rPr>
          <w:rStyle w:val="apple-converted-space"/>
          <w:rFonts w:ascii="Arial" w:hAnsi="Arial" w:cs="Arial"/>
          <w:szCs w:val="24"/>
        </w:rPr>
        <w:t xml:space="preserve"> </w:t>
      </w:r>
      <w:r w:rsidRPr="00D10959">
        <w:rPr>
          <w:rFonts w:ascii="Arial" w:hAnsi="Arial" w:cs="Arial"/>
          <w:szCs w:val="24"/>
        </w:rPr>
        <w:t>or other psychoses. Risk is highest for frequent users.</w:t>
      </w:r>
    </w:p>
    <w:p w14:paraId="3DB63FDC" w14:textId="77777777" w:rsidR="00847481" w:rsidRPr="00D10959" w:rsidRDefault="00847481" w:rsidP="00AD7828">
      <w:pPr>
        <w:pStyle w:val="LevelA"/>
        <w:numPr>
          <w:ilvl w:val="1"/>
          <w:numId w:val="18"/>
        </w:numPr>
        <w:suppressAutoHyphens/>
        <w:spacing w:after="60"/>
        <w:ind w:left="1448" w:right="-720" w:firstLine="0"/>
        <w:jc w:val="both"/>
        <w:rPr>
          <w:rFonts w:ascii="Arial" w:hAnsi="Arial" w:cs="Arial"/>
          <w:szCs w:val="24"/>
        </w:rPr>
      </w:pPr>
      <w:r w:rsidRPr="00D10959">
        <w:rPr>
          <w:rStyle w:val="apple-converted-space"/>
          <w:rFonts w:ascii="Arial" w:hAnsi="Arial" w:cs="Arial"/>
          <w:szCs w:val="24"/>
        </w:rPr>
        <w:t>Smoking marijuana long</w:t>
      </w:r>
      <w:r>
        <w:rPr>
          <w:rStyle w:val="apple-converted-space"/>
          <w:rFonts w:ascii="Arial" w:hAnsi="Arial" w:cs="Arial"/>
          <w:szCs w:val="24"/>
        </w:rPr>
        <w:t>-</w:t>
      </w:r>
      <w:r w:rsidRPr="00D10959">
        <w:rPr>
          <w:rStyle w:val="apple-converted-space"/>
          <w:rFonts w:ascii="Arial" w:hAnsi="Arial" w:cs="Arial"/>
          <w:szCs w:val="24"/>
        </w:rPr>
        <w:t xml:space="preserve">term may </w:t>
      </w:r>
      <w:r w:rsidRPr="00D10959">
        <w:rPr>
          <w:rStyle w:val="apple-converted-space"/>
          <w:rFonts w:ascii="Arial" w:hAnsi="Arial" w:cs="Arial"/>
          <w:b/>
          <w:szCs w:val="24"/>
        </w:rPr>
        <w:t>make breathing problems worse</w:t>
      </w:r>
      <w:r w:rsidRPr="00D10959">
        <w:rPr>
          <w:rStyle w:val="apple-converted-space"/>
          <w:rFonts w:ascii="Arial" w:hAnsi="Arial" w:cs="Arial"/>
          <w:szCs w:val="24"/>
        </w:rPr>
        <w:t>.</w:t>
      </w:r>
      <w:r w:rsidRPr="00D10959" w:rsidDel="006372E5">
        <w:rPr>
          <w:rFonts w:ascii="Arial" w:hAnsi="Arial" w:cs="Arial"/>
          <w:color w:val="000000" w:themeColor="text1"/>
          <w:szCs w:val="24"/>
        </w:rPr>
        <w:t xml:space="preserve"> </w:t>
      </w:r>
    </w:p>
    <w:p w14:paraId="13BCB969" w14:textId="77777777" w:rsidR="00847481" w:rsidRPr="00D10959" w:rsidRDefault="00847481" w:rsidP="00AD7828">
      <w:pPr>
        <w:pStyle w:val="LevelA"/>
        <w:suppressAutoHyphens/>
        <w:spacing w:after="60"/>
        <w:ind w:left="1448" w:right="-720" w:firstLine="0"/>
        <w:jc w:val="both"/>
        <w:rPr>
          <w:rFonts w:ascii="Arial" w:hAnsi="Arial" w:cs="Arial"/>
          <w:szCs w:val="24"/>
        </w:rPr>
      </w:pPr>
      <w:r w:rsidRPr="00D10959">
        <w:rPr>
          <w:rFonts w:ascii="Arial" w:hAnsi="Arial" w:cs="Arial"/>
          <w:color w:val="000000" w:themeColor="text1"/>
          <w:szCs w:val="24"/>
        </w:rPr>
        <w:t>THESE WARNINGS ARE PROVIDED BY</w:t>
      </w:r>
      <w:r>
        <w:rPr>
          <w:rFonts w:ascii="Arial" w:hAnsi="Arial" w:cs="Arial"/>
          <w:color w:val="000000" w:themeColor="text1"/>
          <w:szCs w:val="24"/>
        </w:rPr>
        <w:t xml:space="preserve"> </w:t>
      </w:r>
      <w:r w:rsidRPr="00D10959">
        <w:rPr>
          <w:rFonts w:ascii="Arial" w:hAnsi="Arial" w:cs="Arial"/>
          <w:color w:val="000000" w:themeColor="text1"/>
          <w:szCs w:val="24"/>
        </w:rPr>
        <w:t>STATE OF CALIFORNIA AS A PUBLIC SERVICE</w:t>
      </w:r>
      <w:r>
        <w:rPr>
          <w:rFonts w:ascii="Arial" w:hAnsi="Arial" w:cs="Arial"/>
          <w:color w:val="000000" w:themeColor="text1"/>
          <w:szCs w:val="24"/>
        </w:rPr>
        <w:t>”</w:t>
      </w:r>
    </w:p>
    <w:p w14:paraId="4A21A67E" w14:textId="77777777" w:rsidR="00847481" w:rsidRPr="00D10959" w:rsidRDefault="00847481" w:rsidP="00AD7828">
      <w:pPr>
        <w:pStyle w:val="Default"/>
        <w:spacing w:after="120"/>
        <w:ind w:left="720" w:right="-720" w:hanging="360"/>
        <w:jc w:val="both"/>
        <w:rPr>
          <w:rFonts w:ascii="Arial" w:hAnsi="Arial" w:cs="Arial"/>
          <w:color w:val="000000" w:themeColor="text1"/>
        </w:rPr>
      </w:pPr>
      <w:r w:rsidRPr="00D10959">
        <w:rPr>
          <w:rFonts w:ascii="Arial" w:hAnsi="Arial" w:cs="Arial"/>
          <w:color w:val="auto"/>
        </w:rPr>
        <w:t xml:space="preserve">b. </w:t>
      </w:r>
      <w:r w:rsidRPr="00D10959">
        <w:rPr>
          <w:rFonts w:ascii="Arial" w:hAnsi="Arial" w:cs="Arial"/>
          <w:b/>
          <w:color w:val="auto"/>
        </w:rPr>
        <w:t>A Cannabis Retailer should be required to display three other warning signs</w:t>
      </w:r>
      <w:r w:rsidRPr="00D10959">
        <w:rPr>
          <w:rFonts w:ascii="Arial" w:hAnsi="Arial" w:cs="Arial"/>
          <w:color w:val="auto"/>
        </w:rPr>
        <w:t xml:space="preserve">, which are </w:t>
      </w:r>
      <w:proofErr w:type="spellStart"/>
      <w:r w:rsidRPr="00D10959">
        <w:rPr>
          <w:rFonts w:ascii="Arial" w:hAnsi="Arial" w:cs="Arial"/>
          <w:color w:val="auto"/>
        </w:rPr>
        <w:t>i</w:t>
      </w:r>
      <w:proofErr w:type="spellEnd"/>
      <w:r w:rsidRPr="00D10959">
        <w:rPr>
          <w:rFonts w:ascii="Arial" w:hAnsi="Arial" w:cs="Arial"/>
          <w:color w:val="auto"/>
        </w:rPr>
        <w:t>) at least 2 feet</w:t>
      </w:r>
      <w:r>
        <w:rPr>
          <w:rFonts w:ascii="Arial" w:hAnsi="Arial" w:cs="Arial"/>
          <w:color w:val="auto"/>
        </w:rPr>
        <w:t xml:space="preserve"> </w:t>
      </w:r>
      <w:r w:rsidRPr="00D10959">
        <w:rPr>
          <w:rFonts w:ascii="Arial" w:hAnsi="Arial" w:cs="Arial"/>
          <w:color w:val="auto"/>
        </w:rPr>
        <w:t>wide by 1 foot tall; ii) post</w:t>
      </w:r>
      <w:r w:rsidRPr="00D10959">
        <w:rPr>
          <w:rFonts w:ascii="Arial" w:hAnsi="Arial" w:cs="Arial"/>
          <w:color w:val="000000" w:themeColor="text1"/>
        </w:rPr>
        <w:t xml:space="preserve">ed at eye height (i.e., with mid-point 5 feet above the floor); and posted behind the main dispensing counter, stating in English and Spanish at a minimum. </w:t>
      </w:r>
    </w:p>
    <w:p w14:paraId="07FD1634" w14:textId="77777777" w:rsidR="00847481" w:rsidRPr="00D10959" w:rsidRDefault="00847481" w:rsidP="00AD7828">
      <w:pPr>
        <w:spacing w:after="120"/>
        <w:ind w:left="1080" w:right="-720"/>
        <w:jc w:val="both"/>
        <w:rPr>
          <w:rFonts w:ascii="Arial" w:hAnsi="Arial" w:cs="Arial"/>
          <w:color w:val="000000"/>
        </w:rPr>
      </w:pPr>
      <w:r>
        <w:rPr>
          <w:rFonts w:ascii="Arial" w:hAnsi="Arial" w:cs="Arial"/>
          <w:b/>
          <w:color w:val="000000"/>
        </w:rPr>
        <w:t>“</w:t>
      </w:r>
      <w:r w:rsidRPr="00D10959">
        <w:rPr>
          <w:rFonts w:ascii="Arial" w:hAnsi="Arial" w:cs="Arial"/>
          <w:b/>
          <w:color w:val="000000"/>
        </w:rPr>
        <w:t>ATTENTION IMMIGRANTS:</w:t>
      </w:r>
      <w:r w:rsidRPr="00D10959">
        <w:rPr>
          <w:rFonts w:ascii="Arial" w:hAnsi="Arial" w:cs="Arial"/>
          <w:color w:val="000000"/>
        </w:rPr>
        <w:t xml:space="preserve"> Even in California, </w:t>
      </w:r>
      <w:r w:rsidRPr="00D10959">
        <w:rPr>
          <w:rFonts w:ascii="Arial" w:hAnsi="Arial" w:cs="Arial"/>
          <w:b/>
          <w:color w:val="000000"/>
        </w:rPr>
        <w:t>using or possessing marijuana or working in the marijuana industry is legally dangerous for any noncitizen</w:t>
      </w:r>
      <w:r w:rsidRPr="00D10959">
        <w:rPr>
          <w:rFonts w:ascii="Arial" w:hAnsi="Arial" w:cs="Arial"/>
          <w:color w:val="000000"/>
        </w:rPr>
        <w:t>.</w:t>
      </w:r>
      <w:r>
        <w:rPr>
          <w:rFonts w:ascii="Arial" w:hAnsi="Arial" w:cs="Arial"/>
          <w:color w:val="000000"/>
        </w:rPr>
        <w:t xml:space="preserve"> </w:t>
      </w:r>
      <w:r w:rsidRPr="00D10959">
        <w:rPr>
          <w:rFonts w:ascii="Arial" w:hAnsi="Arial" w:cs="Arial"/>
          <w:color w:val="000000"/>
        </w:rPr>
        <w:t>This includes lawful permanent</w:t>
      </w:r>
      <w:r>
        <w:rPr>
          <w:rFonts w:ascii="Arial" w:hAnsi="Arial" w:cs="Arial"/>
          <w:color w:val="000000" w:themeColor="text1"/>
        </w:rPr>
        <w:t xml:space="preserve"> r</w:t>
      </w:r>
      <w:r w:rsidRPr="00D10959">
        <w:rPr>
          <w:rFonts w:ascii="Arial" w:hAnsi="Arial" w:cs="Arial"/>
          <w:color w:val="000000"/>
        </w:rPr>
        <w:t>esidents, undocumented persons, students, and others.</w:t>
      </w:r>
      <w:r>
        <w:rPr>
          <w:rFonts w:ascii="Arial" w:hAnsi="Arial" w:cs="Arial"/>
          <w:color w:val="000000"/>
        </w:rPr>
        <w:t xml:space="preserve"> </w:t>
      </w:r>
      <w:r w:rsidRPr="00D10959">
        <w:rPr>
          <w:rFonts w:ascii="Arial" w:hAnsi="Arial" w:cs="Arial"/>
          <w:color w:val="000000"/>
        </w:rPr>
        <w:t>Marijuana is illegal under federal law, and federal law controls immigration.</w:t>
      </w:r>
      <w:r>
        <w:rPr>
          <w:rFonts w:ascii="Arial" w:hAnsi="Arial" w:cs="Arial"/>
          <w:color w:val="000000"/>
        </w:rPr>
        <w:t xml:space="preserve"> </w:t>
      </w:r>
      <w:r w:rsidRPr="00D10959">
        <w:rPr>
          <w:rFonts w:ascii="Arial" w:hAnsi="Arial" w:cs="Arial"/>
          <w:color w:val="000000"/>
        </w:rPr>
        <w:t xml:space="preserve">If you need to take medical marijuana, see an immigration attorney for advice. The State of California </w:t>
      </w:r>
      <w:r w:rsidRPr="00D10959">
        <w:rPr>
          <w:rFonts w:ascii="Arial" w:hAnsi="Arial" w:cs="Arial"/>
          <w:color w:val="000000" w:themeColor="text1"/>
        </w:rPr>
        <w:t>provides this information as a service to immigrant members of our community.</w:t>
      </w:r>
      <w:r>
        <w:rPr>
          <w:rFonts w:ascii="Arial" w:hAnsi="Arial" w:cs="Arial"/>
          <w:color w:val="000000" w:themeColor="text1"/>
        </w:rPr>
        <w:t>”</w:t>
      </w:r>
    </w:p>
    <w:p w14:paraId="134987FC" w14:textId="77777777" w:rsidR="00847481" w:rsidRPr="00D10959" w:rsidRDefault="00847481" w:rsidP="00AD7828">
      <w:pPr>
        <w:spacing w:after="120"/>
        <w:ind w:left="1080" w:right="-720"/>
        <w:jc w:val="both"/>
        <w:rPr>
          <w:rFonts w:ascii="Arial" w:hAnsi="Arial" w:cs="Arial"/>
          <w:color w:val="000000" w:themeColor="text1"/>
        </w:rPr>
      </w:pPr>
      <w:r>
        <w:rPr>
          <w:rFonts w:ascii="Arial" w:hAnsi="Arial" w:cs="Arial"/>
          <w:b/>
          <w:color w:val="000000" w:themeColor="text1"/>
        </w:rPr>
        <w:t>“</w:t>
      </w:r>
      <w:r w:rsidRPr="00D10959">
        <w:rPr>
          <w:rFonts w:ascii="Arial" w:hAnsi="Arial" w:cs="Arial"/>
          <w:b/>
          <w:color w:val="000000" w:themeColor="text1"/>
        </w:rPr>
        <w:t>INDIVIDUALS ON PROBATION OR PAROLE</w:t>
      </w:r>
      <w:r w:rsidRPr="00D10959">
        <w:rPr>
          <w:rFonts w:ascii="Arial" w:hAnsi="Arial" w:cs="Arial"/>
          <w:color w:val="000000" w:themeColor="text1"/>
        </w:rPr>
        <w:t>:</w:t>
      </w:r>
      <w:r>
        <w:rPr>
          <w:rFonts w:ascii="Arial" w:hAnsi="Arial" w:cs="Arial"/>
          <w:color w:val="000000" w:themeColor="text1"/>
        </w:rPr>
        <w:t xml:space="preserve"> </w:t>
      </w:r>
      <w:r w:rsidRPr="00D10959">
        <w:rPr>
          <w:rFonts w:ascii="Arial" w:hAnsi="Arial" w:cs="Arial"/>
          <w:color w:val="000000" w:themeColor="text1"/>
        </w:rPr>
        <w:t>If you are prohibited from using drugs as a condition of your probation or parole, then possession or use of marijuana could violate your probation or parole. Warning from the State of California</w:t>
      </w:r>
      <w:r>
        <w:rPr>
          <w:rFonts w:ascii="Arial" w:hAnsi="Arial" w:cs="Arial"/>
          <w:color w:val="000000" w:themeColor="text1"/>
        </w:rPr>
        <w:t>”</w:t>
      </w:r>
    </w:p>
    <w:p w14:paraId="06F27FC7" w14:textId="77777777" w:rsidR="00847481" w:rsidRDefault="00847481" w:rsidP="00AD7828">
      <w:pPr>
        <w:spacing w:after="120"/>
        <w:ind w:left="1080" w:right="-720"/>
        <w:jc w:val="both"/>
        <w:rPr>
          <w:rFonts w:ascii="Arial" w:hAnsi="Arial" w:cs="Arial"/>
          <w:color w:val="000000" w:themeColor="text1"/>
        </w:rPr>
      </w:pPr>
      <w:r>
        <w:rPr>
          <w:rFonts w:ascii="Arial" w:hAnsi="Arial" w:cs="Arial"/>
          <w:b/>
          <w:color w:val="000000" w:themeColor="text1"/>
        </w:rPr>
        <w:t>“</w:t>
      </w:r>
      <w:r w:rsidRPr="00D10959">
        <w:rPr>
          <w:rFonts w:ascii="Arial" w:hAnsi="Arial" w:cs="Arial"/>
          <w:b/>
          <w:color w:val="000000" w:themeColor="text1"/>
        </w:rPr>
        <w:t>ARE YOU BETWEEN</w:t>
      </w:r>
      <w:r>
        <w:rPr>
          <w:rFonts w:ascii="Arial" w:hAnsi="Arial" w:cs="Arial"/>
          <w:b/>
          <w:color w:val="000000" w:themeColor="text1"/>
        </w:rPr>
        <w:t xml:space="preserve"> </w:t>
      </w:r>
      <w:r w:rsidRPr="00D10959">
        <w:rPr>
          <w:rFonts w:ascii="Arial" w:hAnsi="Arial" w:cs="Arial"/>
          <w:b/>
          <w:color w:val="000000" w:themeColor="text1"/>
        </w:rPr>
        <w:t xml:space="preserve">18-20 YEARS OF </w:t>
      </w:r>
      <w:proofErr w:type="gramStart"/>
      <w:r w:rsidRPr="00D10959">
        <w:rPr>
          <w:rFonts w:ascii="Arial" w:hAnsi="Arial" w:cs="Arial"/>
          <w:b/>
          <w:color w:val="000000" w:themeColor="text1"/>
        </w:rPr>
        <w:t>AGE?:</w:t>
      </w:r>
      <w:proofErr w:type="gramEnd"/>
      <w:r w:rsidRPr="00D10959">
        <w:rPr>
          <w:rFonts w:ascii="Arial" w:hAnsi="Arial" w:cs="Arial"/>
          <w:color w:val="000000" w:themeColor="text1"/>
        </w:rPr>
        <w:t xml:space="preserve"> If you are caught possessing marijuana without medical authorization, you could face legal consequences. Warning from the State of California</w:t>
      </w:r>
      <w:r>
        <w:rPr>
          <w:rFonts w:ascii="Arial" w:hAnsi="Arial" w:cs="Arial"/>
          <w:color w:val="000000" w:themeColor="text1"/>
        </w:rPr>
        <w:t>”</w:t>
      </w:r>
    </w:p>
    <w:p w14:paraId="201CB5BC" w14:textId="23971148" w:rsidR="00847481" w:rsidRDefault="00847481" w:rsidP="00AD7828">
      <w:pPr>
        <w:spacing w:after="120"/>
        <w:ind w:right="-720"/>
        <w:jc w:val="both"/>
        <w:rPr>
          <w:rFonts w:ascii="Arial" w:hAnsi="Arial" w:cs="Arial"/>
          <w:color w:val="000000" w:themeColor="text1"/>
        </w:rPr>
      </w:pPr>
      <w:r w:rsidRPr="006B6FB8">
        <w:rPr>
          <w:rFonts w:ascii="Arial" w:hAnsi="Arial" w:cs="Arial"/>
          <w:color w:val="000000" w:themeColor="text1"/>
        </w:rPr>
        <w:lastRenderedPageBreak/>
        <w:t xml:space="preserve">The text of the required </w:t>
      </w:r>
      <w:r w:rsidR="00594D83">
        <w:rPr>
          <w:rFonts w:ascii="Arial" w:hAnsi="Arial" w:cs="Arial"/>
          <w:color w:val="000000" w:themeColor="text1"/>
        </w:rPr>
        <w:t xml:space="preserve">health </w:t>
      </w:r>
      <w:r w:rsidRPr="006B6FB8">
        <w:rPr>
          <w:rFonts w:ascii="Arial" w:hAnsi="Arial" w:cs="Arial"/>
          <w:color w:val="000000" w:themeColor="text1"/>
        </w:rPr>
        <w:t xml:space="preserve">warnings should be reviewed and updated by CDPH as needed, and at least every three years based on current scientific evidence, including communication effectiveness, and legal information. </w:t>
      </w:r>
    </w:p>
    <w:p w14:paraId="757EACE0" w14:textId="77777777" w:rsidR="000269A1" w:rsidRPr="006B6FB8" w:rsidRDefault="000269A1" w:rsidP="00AD7828">
      <w:pPr>
        <w:spacing w:after="120"/>
        <w:ind w:right="-720"/>
        <w:jc w:val="both"/>
        <w:rPr>
          <w:rFonts w:ascii="Arial" w:hAnsi="Arial" w:cs="Arial"/>
          <w:color w:val="000000" w:themeColor="text1"/>
        </w:rPr>
      </w:pPr>
    </w:p>
    <w:p w14:paraId="257C0258" w14:textId="03EBB874" w:rsidR="007338D0" w:rsidRPr="00E5120D" w:rsidRDefault="007338D0" w:rsidP="00E5120D">
      <w:pPr>
        <w:pStyle w:val="ListParagraph"/>
        <w:numPr>
          <w:ilvl w:val="0"/>
          <w:numId w:val="7"/>
        </w:numPr>
        <w:tabs>
          <w:tab w:val="left" w:pos="360"/>
        </w:tabs>
        <w:spacing w:after="120"/>
        <w:rPr>
          <w:rFonts w:ascii="Arial" w:hAnsi="Arial" w:cs="Arial"/>
          <w:i/>
        </w:rPr>
      </w:pPr>
      <w:r w:rsidRPr="00FB492E">
        <w:rPr>
          <w:rFonts w:ascii="Arial" w:hAnsi="Arial" w:cs="Arial"/>
          <w:i/>
        </w:rPr>
        <w:t>§ 50</w:t>
      </w:r>
      <w:r>
        <w:rPr>
          <w:rFonts w:ascii="Arial" w:hAnsi="Arial" w:cs="Arial"/>
          <w:i/>
        </w:rPr>
        <w:t>26. Premises Location</w:t>
      </w:r>
      <w:r w:rsidR="00E5120D">
        <w:rPr>
          <w:rFonts w:ascii="Arial" w:hAnsi="Arial" w:cs="Arial"/>
          <w:i/>
        </w:rPr>
        <w:t xml:space="preserve"> (a) </w:t>
      </w:r>
      <w:r w:rsidR="00446D36" w:rsidRPr="00E5120D">
        <w:rPr>
          <w:rFonts w:ascii="Arial" w:hAnsi="Arial" w:cs="Arial"/>
          <w:i/>
        </w:rPr>
        <w:t>A premises licensed under this division shall not be located within a 600-foot radius of a school providing instruction in kindergarten or any grades 1 through 12, day care center, or youth center that is in existence at the time the license is issued.</w:t>
      </w:r>
    </w:p>
    <w:p w14:paraId="731A5A76" w14:textId="15C88D63" w:rsidR="00446D36" w:rsidRDefault="00446D36" w:rsidP="00AD7828">
      <w:pPr>
        <w:tabs>
          <w:tab w:val="left" w:pos="360"/>
        </w:tabs>
        <w:spacing w:after="120"/>
        <w:ind w:right="-720"/>
        <w:jc w:val="both"/>
        <w:rPr>
          <w:rFonts w:ascii="Arial" w:hAnsi="Arial" w:cs="Arial"/>
        </w:rPr>
      </w:pPr>
      <w:r w:rsidRPr="00AB0CD9">
        <w:rPr>
          <w:rFonts w:ascii="Arial" w:hAnsi="Arial" w:cs="Arial"/>
        </w:rPr>
        <w:t>Since sales of cannabis</w:t>
      </w:r>
      <w:r w:rsidR="00635516">
        <w:rPr>
          <w:rFonts w:ascii="Arial" w:hAnsi="Arial" w:cs="Arial"/>
        </w:rPr>
        <w:t xml:space="preserve"> </w:t>
      </w:r>
      <w:r w:rsidRPr="00AB0CD9">
        <w:rPr>
          <w:rFonts w:ascii="Arial" w:hAnsi="Arial" w:cs="Arial"/>
        </w:rPr>
        <w:t>are prohibited to individuals under age 21, and neurological development is not mature until closer to age 25, the prohibition on location of premises licensed under this division</w:t>
      </w:r>
      <w:r w:rsidR="00635516">
        <w:rPr>
          <w:rFonts w:ascii="Arial" w:hAnsi="Arial" w:cs="Arial"/>
        </w:rPr>
        <w:t xml:space="preserve"> </w:t>
      </w:r>
      <w:r w:rsidRPr="00AB0CD9">
        <w:rPr>
          <w:rFonts w:ascii="Arial" w:hAnsi="Arial" w:cs="Arial"/>
        </w:rPr>
        <w:t>should be increased to 1,000 feet and extended to include community colleges and universities, given that a large part or even the majority of students may be under age 21.</w:t>
      </w:r>
    </w:p>
    <w:p w14:paraId="018EC0E1" w14:textId="77777777" w:rsidR="000E1663" w:rsidRPr="00AB0CD9" w:rsidRDefault="000E1663" w:rsidP="00AB0CD9">
      <w:pPr>
        <w:tabs>
          <w:tab w:val="left" w:pos="360"/>
        </w:tabs>
        <w:spacing w:after="120"/>
        <w:rPr>
          <w:rFonts w:ascii="Arial" w:hAnsi="Arial" w:cs="Arial"/>
        </w:rPr>
      </w:pPr>
    </w:p>
    <w:p w14:paraId="67978611" w14:textId="6F09665B" w:rsidR="007C3410" w:rsidRPr="00FB492E" w:rsidRDefault="007C3410" w:rsidP="007C3410">
      <w:pPr>
        <w:pStyle w:val="ListParagraph"/>
        <w:numPr>
          <w:ilvl w:val="0"/>
          <w:numId w:val="7"/>
        </w:numPr>
        <w:tabs>
          <w:tab w:val="left" w:pos="360"/>
        </w:tabs>
        <w:spacing w:after="120"/>
        <w:rPr>
          <w:rFonts w:ascii="Arial" w:hAnsi="Arial" w:cs="Arial"/>
          <w:i/>
        </w:rPr>
      </w:pPr>
      <w:r w:rsidRPr="00FB492E">
        <w:rPr>
          <w:rFonts w:ascii="Arial" w:hAnsi="Arial" w:cs="Arial"/>
          <w:i/>
        </w:rPr>
        <w:t xml:space="preserve">§ 5040. Advertising Placement (a)(1) Shall only be displayed after a licensee has obtained reliable up-to-date audience composition data demonstrating that at least 71.6 percent of the audience viewing the advertising or marketing is reasonably expected to be 21 </w:t>
      </w:r>
      <w:r>
        <w:rPr>
          <w:rFonts w:ascii="Arial" w:hAnsi="Arial" w:cs="Arial"/>
          <w:i/>
        </w:rPr>
        <w:t>years of age or older</w:t>
      </w:r>
    </w:p>
    <w:p w14:paraId="69F9E93B" w14:textId="69D3CA64" w:rsidR="007C3410" w:rsidRPr="003B3F51" w:rsidRDefault="007C3410" w:rsidP="00AD7828">
      <w:pPr>
        <w:spacing w:after="120"/>
        <w:ind w:right="-720"/>
        <w:jc w:val="both"/>
        <w:rPr>
          <w:rFonts w:ascii="Arial" w:hAnsi="Arial" w:cs="Arial"/>
        </w:rPr>
      </w:pPr>
      <w:r>
        <w:rPr>
          <w:rFonts w:ascii="Arial" w:hAnsi="Arial" w:cs="Arial"/>
        </w:rPr>
        <w:t>This</w:t>
      </w:r>
      <w:r w:rsidRPr="001E33DB">
        <w:rPr>
          <w:rFonts w:ascii="Arial" w:hAnsi="Arial" w:cs="Arial"/>
        </w:rPr>
        <w:t xml:space="preserve"> rule as written will allow rampant advertising exposure of children and youth in broadcast, cable, print and digital media. We recommend using a more string</w:t>
      </w:r>
      <w:r>
        <w:rPr>
          <w:rFonts w:ascii="Arial" w:hAnsi="Arial" w:cs="Arial"/>
        </w:rPr>
        <w:t xml:space="preserve">ent youth exposure threshold. The </w:t>
      </w:r>
      <w:r w:rsidRPr="001E33DB">
        <w:rPr>
          <w:rFonts w:ascii="Arial" w:hAnsi="Arial" w:cs="Arial"/>
        </w:rPr>
        <w:t>71.6% adult target market</w:t>
      </w:r>
      <w:r>
        <w:rPr>
          <w:rFonts w:ascii="Arial" w:hAnsi="Arial" w:cs="Arial"/>
        </w:rPr>
        <w:t xml:space="preserve"> threshold</w:t>
      </w:r>
      <w:r w:rsidRPr="001E33DB">
        <w:rPr>
          <w:rFonts w:ascii="Arial" w:hAnsi="Arial" w:cs="Arial"/>
        </w:rPr>
        <w:t xml:space="preserve"> is adopted from alcohol industry self-regulatory guidelines</w:t>
      </w:r>
      <w:r w:rsidR="00F12A5E">
        <w:rPr>
          <w:rStyle w:val="FootnoteReference"/>
          <w:rFonts w:ascii="Arial" w:hAnsi="Arial" w:cs="Arial"/>
        </w:rPr>
        <w:footnoteReference w:id="25"/>
      </w:r>
      <w:r w:rsidR="00F12A5E" w:rsidRPr="00F12A5E">
        <w:rPr>
          <w:rFonts w:ascii="Arial" w:hAnsi="Arial" w:cs="Arial"/>
          <w:vertAlign w:val="superscript"/>
        </w:rPr>
        <w:t>,</w:t>
      </w:r>
      <w:r w:rsidR="00F12A5E">
        <w:rPr>
          <w:rStyle w:val="FootnoteReference"/>
          <w:rFonts w:ascii="Arial" w:hAnsi="Arial" w:cs="Arial"/>
        </w:rPr>
        <w:footnoteReference w:id="26"/>
      </w:r>
      <w:r w:rsidRPr="001E33DB">
        <w:rPr>
          <w:rFonts w:ascii="Arial" w:hAnsi="Arial" w:cs="Arial"/>
        </w:rPr>
        <w:t xml:space="preserve"> which have been found in research to be wholly inadequate to protect youth from advertising exposure. A report from the National Research Council and Institute of Medicine recommended a </w:t>
      </w:r>
      <w:r>
        <w:rPr>
          <w:rFonts w:ascii="Arial" w:hAnsi="Arial" w:cs="Arial"/>
        </w:rPr>
        <w:t>minimum</w:t>
      </w:r>
      <w:r w:rsidRPr="001E33DB">
        <w:rPr>
          <w:rFonts w:ascii="Arial" w:hAnsi="Arial" w:cs="Arial"/>
        </w:rPr>
        <w:t xml:space="preserve"> </w:t>
      </w:r>
      <w:r>
        <w:rPr>
          <w:rFonts w:ascii="Arial" w:hAnsi="Arial" w:cs="Arial"/>
        </w:rPr>
        <w:t>85</w:t>
      </w:r>
      <w:r w:rsidRPr="001E33DB">
        <w:rPr>
          <w:rFonts w:ascii="Arial" w:hAnsi="Arial" w:cs="Arial"/>
        </w:rPr>
        <w:t>%</w:t>
      </w:r>
      <w:r>
        <w:rPr>
          <w:rFonts w:ascii="Arial" w:hAnsi="Arial" w:cs="Arial"/>
        </w:rPr>
        <w:t xml:space="preserve"> adult market</w:t>
      </w:r>
      <w:r w:rsidRPr="001E33DB">
        <w:rPr>
          <w:rFonts w:ascii="Arial" w:hAnsi="Arial" w:cs="Arial"/>
        </w:rPr>
        <w:t xml:space="preserve"> threshold. </w:t>
      </w:r>
      <w:r>
        <w:rPr>
          <w:rFonts w:ascii="Arial" w:hAnsi="Arial" w:cs="Arial"/>
        </w:rPr>
        <w:t xml:space="preserve">The remaining 15% reflects the proportion of U.S. youth </w:t>
      </w:r>
      <w:r w:rsidRPr="001E33DB">
        <w:rPr>
          <w:rFonts w:ascii="Arial" w:hAnsi="Arial" w:cs="Arial"/>
        </w:rPr>
        <w:t>between the ages of 12 and 20</w:t>
      </w:r>
      <w:r>
        <w:rPr>
          <w:rFonts w:ascii="Arial" w:hAnsi="Arial" w:cs="Arial"/>
        </w:rPr>
        <w:t xml:space="preserve">, who comprise the young people </w:t>
      </w:r>
      <w:r w:rsidRPr="001E33DB">
        <w:rPr>
          <w:rFonts w:ascii="Arial" w:hAnsi="Arial" w:cs="Arial"/>
        </w:rPr>
        <w:t xml:space="preserve">most at risk of initiating </w:t>
      </w:r>
      <w:r>
        <w:rPr>
          <w:rFonts w:ascii="Arial" w:hAnsi="Arial" w:cs="Arial"/>
        </w:rPr>
        <w:t>substance use. The NRC/IOM</w:t>
      </w:r>
      <w:r w:rsidRPr="001E33DB">
        <w:rPr>
          <w:rFonts w:ascii="Arial" w:hAnsi="Arial" w:cs="Arial"/>
        </w:rPr>
        <w:t xml:space="preserve"> reported that this as standard would preclude alcohol advertising on only 34.0 percent of television programming if the base included children ages 2 and above, and 19.2 percent of programming if the base were limi</w:t>
      </w:r>
      <w:r>
        <w:rPr>
          <w:rFonts w:ascii="Arial" w:hAnsi="Arial" w:cs="Arial"/>
        </w:rPr>
        <w:t>ted to person age 12 and above</w:t>
      </w:r>
      <w:r w:rsidRPr="001E33DB">
        <w:rPr>
          <w:rFonts w:ascii="Arial" w:hAnsi="Arial" w:cs="Arial"/>
        </w:rPr>
        <w:t>.</w:t>
      </w:r>
      <w:r>
        <w:rPr>
          <w:rStyle w:val="FootnoteReference"/>
          <w:rFonts w:ascii="Arial" w:hAnsi="Arial" w:cs="Arial"/>
        </w:rPr>
        <w:footnoteReference w:id="27"/>
      </w:r>
      <w:r w:rsidRPr="001E33DB">
        <w:rPr>
          <w:rFonts w:ascii="Arial" w:hAnsi="Arial" w:cs="Arial"/>
        </w:rPr>
        <w:t xml:space="preserve"> </w:t>
      </w:r>
    </w:p>
    <w:p w14:paraId="337569FB" w14:textId="228B58E0" w:rsidR="007C3410" w:rsidRDefault="007C3410" w:rsidP="003E7447">
      <w:pPr>
        <w:spacing w:after="120"/>
        <w:ind w:right="-720"/>
        <w:jc w:val="both"/>
        <w:rPr>
          <w:rFonts w:ascii="Arial" w:hAnsi="Arial" w:cs="Arial"/>
        </w:rPr>
      </w:pPr>
      <w:r>
        <w:rPr>
          <w:rFonts w:ascii="Arial" w:hAnsi="Arial" w:cs="Arial"/>
          <w:b/>
        </w:rPr>
        <w:t>T</w:t>
      </w:r>
      <w:r w:rsidRPr="003B3F51">
        <w:rPr>
          <w:rFonts w:ascii="Arial" w:hAnsi="Arial" w:cs="Arial"/>
          <w:b/>
        </w:rPr>
        <w:t xml:space="preserve">he State Advisory Commission </w:t>
      </w:r>
      <w:r>
        <w:rPr>
          <w:rFonts w:ascii="Arial" w:hAnsi="Arial" w:cs="Arial"/>
          <w:b/>
        </w:rPr>
        <w:t xml:space="preserve">already </w:t>
      </w:r>
      <w:r w:rsidRPr="003B3F51">
        <w:rPr>
          <w:rFonts w:ascii="Arial" w:hAnsi="Arial" w:cs="Arial"/>
          <w:b/>
        </w:rPr>
        <w:t>approved</w:t>
      </w:r>
      <w:r w:rsidR="00594D83">
        <w:rPr>
          <w:rFonts w:ascii="Arial" w:hAnsi="Arial" w:cs="Arial"/>
          <w:b/>
        </w:rPr>
        <w:t xml:space="preserve"> recommending</w:t>
      </w:r>
      <w:r w:rsidRPr="003B3F51">
        <w:rPr>
          <w:rFonts w:ascii="Arial" w:hAnsi="Arial" w:cs="Arial"/>
          <w:b/>
        </w:rPr>
        <w:t xml:space="preserve"> </w:t>
      </w:r>
      <w:r>
        <w:rPr>
          <w:rFonts w:ascii="Arial" w:hAnsi="Arial" w:cs="Arial"/>
          <w:b/>
        </w:rPr>
        <w:t>the</w:t>
      </w:r>
      <w:r w:rsidRPr="003B3F51">
        <w:rPr>
          <w:rFonts w:ascii="Arial" w:hAnsi="Arial" w:cs="Arial"/>
          <w:b/>
        </w:rPr>
        <w:t xml:space="preserve"> increase</w:t>
      </w:r>
      <w:r>
        <w:rPr>
          <w:rFonts w:ascii="Arial" w:hAnsi="Arial" w:cs="Arial"/>
          <w:b/>
        </w:rPr>
        <w:t xml:space="preserve"> in</w:t>
      </w:r>
      <w:r w:rsidRPr="003B3F51">
        <w:rPr>
          <w:rFonts w:ascii="Arial" w:hAnsi="Arial" w:cs="Arial"/>
          <w:b/>
        </w:rPr>
        <w:t xml:space="preserve"> the audience threshold to match the IOM recommendation of </w:t>
      </w:r>
      <w:proofErr w:type="gramStart"/>
      <w:r w:rsidRPr="003B3F51">
        <w:rPr>
          <w:rFonts w:ascii="Arial" w:hAnsi="Arial" w:cs="Arial"/>
          <w:b/>
        </w:rPr>
        <w:t>85%,</w:t>
      </w:r>
      <w:r w:rsidRPr="003B3F51">
        <w:rPr>
          <w:rFonts w:ascii="Arial" w:hAnsi="Arial" w:cs="Arial"/>
        </w:rPr>
        <w:t xml:space="preserve"> </w:t>
      </w:r>
      <w:r w:rsidR="00594D83">
        <w:rPr>
          <w:rFonts w:ascii="Arial" w:hAnsi="Arial" w:cs="Arial"/>
        </w:rPr>
        <w:t>and</w:t>
      </w:r>
      <w:proofErr w:type="gramEnd"/>
      <w:r w:rsidR="00594D83">
        <w:rPr>
          <w:rFonts w:ascii="Arial" w:hAnsi="Arial" w:cs="Arial"/>
        </w:rPr>
        <w:t xml:space="preserve"> were </w:t>
      </w:r>
      <w:r w:rsidR="0075536B">
        <w:rPr>
          <w:rFonts w:ascii="Arial" w:hAnsi="Arial" w:cs="Arial"/>
        </w:rPr>
        <w:t>informing</w:t>
      </w:r>
      <w:r w:rsidR="00594D83">
        <w:rPr>
          <w:rFonts w:ascii="Arial" w:hAnsi="Arial" w:cs="Arial"/>
        </w:rPr>
        <w:t xml:space="preserve"> the state legislature</w:t>
      </w:r>
      <w:r w:rsidR="0075536B">
        <w:rPr>
          <w:rFonts w:ascii="Arial" w:hAnsi="Arial" w:cs="Arial"/>
        </w:rPr>
        <w:t xml:space="preserve"> of their recommendation</w:t>
      </w:r>
      <w:r w:rsidRPr="003B3F51">
        <w:rPr>
          <w:rFonts w:ascii="Arial" w:hAnsi="Arial" w:cs="Arial"/>
        </w:rPr>
        <w:t>.</w:t>
      </w:r>
    </w:p>
    <w:p w14:paraId="23D329E5" w14:textId="77777777" w:rsidR="007C3410" w:rsidRPr="000269A1" w:rsidRDefault="007C3410" w:rsidP="000269A1">
      <w:pPr>
        <w:tabs>
          <w:tab w:val="left" w:pos="360"/>
        </w:tabs>
        <w:spacing w:after="120"/>
        <w:rPr>
          <w:rFonts w:ascii="Arial" w:hAnsi="Arial" w:cs="Arial"/>
        </w:rPr>
      </w:pPr>
    </w:p>
    <w:p w14:paraId="2E872783" w14:textId="49F7004B" w:rsidR="006A7C9C" w:rsidRPr="00FB492E" w:rsidRDefault="006A7C9C" w:rsidP="00FB492E">
      <w:pPr>
        <w:pStyle w:val="ListParagraph"/>
        <w:numPr>
          <w:ilvl w:val="0"/>
          <w:numId w:val="7"/>
        </w:numPr>
        <w:tabs>
          <w:tab w:val="left" w:pos="360"/>
        </w:tabs>
        <w:spacing w:after="120"/>
        <w:rPr>
          <w:rFonts w:ascii="Arial" w:hAnsi="Arial" w:cs="Arial"/>
          <w:i/>
        </w:rPr>
      </w:pPr>
      <w:r w:rsidRPr="00FB492E">
        <w:rPr>
          <w:rFonts w:ascii="Arial" w:hAnsi="Arial" w:cs="Arial"/>
          <w:i/>
        </w:rPr>
        <w:t>§ 5040. Advertising Placement (a)(2)-(3)</w:t>
      </w:r>
    </w:p>
    <w:p w14:paraId="735CE0DD" w14:textId="41A6A316" w:rsidR="00BD567B" w:rsidRPr="00D10959" w:rsidRDefault="00423C84" w:rsidP="00AD7828">
      <w:pPr>
        <w:spacing w:after="120"/>
        <w:ind w:right="-720"/>
        <w:jc w:val="both"/>
        <w:outlineLvl w:val="0"/>
        <w:rPr>
          <w:rFonts w:ascii="Arial" w:hAnsi="Arial" w:cs="Arial"/>
        </w:rPr>
      </w:pPr>
      <w:r w:rsidRPr="009A5C6A">
        <w:rPr>
          <w:rFonts w:ascii="Arial" w:hAnsi="Arial" w:cs="Arial"/>
        </w:rPr>
        <w:t xml:space="preserve">Though we applaud the addition of a definition of </w:t>
      </w:r>
      <w:r w:rsidRPr="00AB0CD9">
        <w:rPr>
          <w:rFonts w:ascii="Arial" w:hAnsi="Arial" w:cs="Arial"/>
          <w:b/>
        </w:rPr>
        <w:t>advertising content with appeal to</w:t>
      </w:r>
      <w:r w:rsidR="00E34380" w:rsidRPr="00AB0CD9">
        <w:rPr>
          <w:rFonts w:ascii="Arial" w:hAnsi="Arial" w:cs="Arial"/>
          <w:b/>
        </w:rPr>
        <w:t xml:space="preserve"> </w:t>
      </w:r>
      <w:r w:rsidR="002B4C21" w:rsidRPr="00AB0CD9">
        <w:rPr>
          <w:rFonts w:ascii="Arial" w:hAnsi="Arial" w:cs="Arial"/>
          <w:b/>
        </w:rPr>
        <w:t>minors</w:t>
      </w:r>
      <w:r w:rsidR="002B4C21">
        <w:rPr>
          <w:rFonts w:ascii="Arial" w:hAnsi="Arial" w:cs="Arial"/>
        </w:rPr>
        <w:t xml:space="preserve"> and the prohibition against the use of images or depictions of those under age 18</w:t>
      </w:r>
      <w:r w:rsidRPr="009A5C6A">
        <w:rPr>
          <w:rFonts w:ascii="Arial" w:hAnsi="Arial" w:cs="Arial"/>
        </w:rPr>
        <w:t xml:space="preserve">, the age cut-off should </w:t>
      </w:r>
      <w:r w:rsidR="009A5C6A" w:rsidRPr="009A5C6A">
        <w:rPr>
          <w:rFonts w:ascii="Arial" w:hAnsi="Arial" w:cs="Arial"/>
        </w:rPr>
        <w:t xml:space="preserve">be </w:t>
      </w:r>
      <w:r w:rsidR="002B4C21">
        <w:rPr>
          <w:rFonts w:ascii="Arial" w:hAnsi="Arial" w:cs="Arial"/>
        </w:rPr>
        <w:t xml:space="preserve">at least </w:t>
      </w:r>
      <w:r w:rsidR="009A5C6A" w:rsidRPr="009A5C6A">
        <w:rPr>
          <w:rFonts w:ascii="Arial" w:hAnsi="Arial" w:cs="Arial"/>
        </w:rPr>
        <w:t>2</w:t>
      </w:r>
      <w:r w:rsidR="002B4C21">
        <w:rPr>
          <w:rFonts w:ascii="Arial" w:hAnsi="Arial" w:cs="Arial"/>
        </w:rPr>
        <w:t xml:space="preserve">1+, and </w:t>
      </w:r>
      <w:r w:rsidR="00A8425E" w:rsidRPr="009A5C6A">
        <w:rPr>
          <w:rFonts w:ascii="Arial" w:hAnsi="Arial" w:cs="Arial"/>
        </w:rPr>
        <w:t xml:space="preserve">not cater to the small subset of minors who are eligible to </w:t>
      </w:r>
      <w:r w:rsidR="00A8425E" w:rsidRPr="009A5C6A">
        <w:rPr>
          <w:rFonts w:ascii="Arial" w:hAnsi="Arial" w:cs="Arial"/>
        </w:rPr>
        <w:lastRenderedPageBreak/>
        <w:t xml:space="preserve">purchase medical </w:t>
      </w:r>
      <w:r w:rsidR="009A5C6A" w:rsidRPr="009A5C6A">
        <w:rPr>
          <w:rFonts w:ascii="Arial" w:hAnsi="Arial" w:cs="Arial"/>
        </w:rPr>
        <w:t>cannabis at 18. Much of the content that is appealing to youth ages 18-20 is appealing to youth under age 18, so in allowing marketers to target those age 18-20</w:t>
      </w:r>
      <w:r w:rsidR="009A5C6A">
        <w:rPr>
          <w:rFonts w:ascii="Arial" w:hAnsi="Arial" w:cs="Arial"/>
        </w:rPr>
        <w:t xml:space="preserve"> through the use of images or depictions </w:t>
      </w:r>
      <w:r w:rsidR="002B4C21">
        <w:rPr>
          <w:rFonts w:ascii="Arial" w:hAnsi="Arial" w:cs="Arial"/>
        </w:rPr>
        <w:t xml:space="preserve">of </w:t>
      </w:r>
      <w:r w:rsidR="009A5C6A">
        <w:rPr>
          <w:rFonts w:ascii="Arial" w:hAnsi="Arial" w:cs="Arial"/>
        </w:rPr>
        <w:t>and content appealing to that demographic</w:t>
      </w:r>
      <w:r w:rsidR="009A5C6A" w:rsidRPr="009A5C6A">
        <w:rPr>
          <w:rFonts w:ascii="Arial" w:hAnsi="Arial" w:cs="Arial"/>
        </w:rPr>
        <w:t>, they will likely also be inadvertentl</w:t>
      </w:r>
      <w:r w:rsidR="002B4C21">
        <w:rPr>
          <w:rFonts w:ascii="Arial" w:hAnsi="Arial" w:cs="Arial"/>
        </w:rPr>
        <w:t>y targeting minors under age 18, encouraging</w:t>
      </w:r>
      <w:r w:rsidR="002B4C21" w:rsidRPr="00B038D5">
        <w:rPr>
          <w:rFonts w:ascii="Arial" w:hAnsi="Arial" w:cs="Arial"/>
        </w:rPr>
        <w:t xml:space="preserve"> </w:t>
      </w:r>
      <w:r w:rsidR="002B4C21">
        <w:rPr>
          <w:rFonts w:ascii="Arial" w:hAnsi="Arial" w:cs="Arial"/>
        </w:rPr>
        <w:t>them</w:t>
      </w:r>
      <w:r w:rsidR="002B4C21" w:rsidRPr="00B038D5">
        <w:rPr>
          <w:rFonts w:ascii="Arial" w:hAnsi="Arial" w:cs="Arial"/>
        </w:rPr>
        <w:t xml:space="preserve"> to initiate cannabis consumption or to consume cannabis or cannabis products</w:t>
      </w:r>
      <w:r w:rsidR="002B4C21">
        <w:rPr>
          <w:rFonts w:ascii="Arial" w:hAnsi="Arial" w:cs="Arial"/>
        </w:rPr>
        <w:t>. Even the code of responsible practices of the Beer Institute and the Distilled Spirits Council of the United States require that models and actors employed to appear in advertising appear to be over 21 years of age and in fact be a minimum of 25 years of age.</w:t>
      </w:r>
      <w:r w:rsidR="003B3F51">
        <w:rPr>
          <w:rStyle w:val="FootnoteReference"/>
          <w:rFonts w:ascii="Arial" w:hAnsi="Arial" w:cs="Arial"/>
        </w:rPr>
        <w:footnoteReference w:id="28"/>
      </w:r>
      <w:r w:rsidR="003B3F51" w:rsidRPr="003B3F51">
        <w:rPr>
          <w:rFonts w:ascii="Arial" w:hAnsi="Arial" w:cs="Arial"/>
          <w:vertAlign w:val="superscript"/>
        </w:rPr>
        <w:t>,</w:t>
      </w:r>
      <w:r w:rsidR="003B3F51">
        <w:rPr>
          <w:rStyle w:val="FootnoteReference"/>
          <w:rFonts w:ascii="Arial" w:hAnsi="Arial" w:cs="Arial"/>
        </w:rPr>
        <w:footnoteReference w:id="29"/>
      </w:r>
    </w:p>
    <w:p w14:paraId="51FEE307" w14:textId="04653B7A" w:rsidR="00BD567B" w:rsidRPr="00CA70D8" w:rsidRDefault="00BD567B" w:rsidP="00AD7828">
      <w:pPr>
        <w:pStyle w:val="FootnoteText"/>
        <w:spacing w:after="120"/>
        <w:ind w:right="-720"/>
        <w:jc w:val="both"/>
        <w:rPr>
          <w:rFonts w:ascii="Arial" w:hAnsi="Arial" w:cs="Arial"/>
          <w:sz w:val="24"/>
          <w:szCs w:val="24"/>
        </w:rPr>
      </w:pPr>
      <w:r w:rsidRPr="00CA70D8">
        <w:rPr>
          <w:rFonts w:ascii="Arial" w:hAnsi="Arial" w:cs="Arial"/>
          <w:sz w:val="24"/>
          <w:szCs w:val="24"/>
        </w:rPr>
        <w:t xml:space="preserve">We </w:t>
      </w:r>
      <w:r w:rsidR="000E1663">
        <w:rPr>
          <w:rFonts w:ascii="Arial" w:hAnsi="Arial" w:cs="Arial"/>
          <w:sz w:val="24"/>
          <w:szCs w:val="24"/>
        </w:rPr>
        <w:t xml:space="preserve">also </w:t>
      </w:r>
      <w:r w:rsidRPr="00CA70D8">
        <w:rPr>
          <w:rFonts w:ascii="Arial" w:hAnsi="Arial" w:cs="Arial"/>
          <w:sz w:val="24"/>
          <w:szCs w:val="24"/>
        </w:rPr>
        <w:t xml:space="preserve">recommend that no </w:t>
      </w:r>
      <w:r w:rsidRPr="00AB0CD9">
        <w:rPr>
          <w:rFonts w:ascii="Arial" w:hAnsi="Arial" w:cs="Arial"/>
          <w:b/>
          <w:sz w:val="24"/>
          <w:szCs w:val="24"/>
        </w:rPr>
        <w:t>health</w:t>
      </w:r>
      <w:r w:rsidR="00594D83" w:rsidRPr="00AB0CD9">
        <w:rPr>
          <w:rFonts w:ascii="Arial" w:hAnsi="Arial" w:cs="Arial"/>
          <w:b/>
          <w:sz w:val="24"/>
          <w:szCs w:val="24"/>
        </w:rPr>
        <w:t>-</w:t>
      </w:r>
      <w:r w:rsidRPr="00AB0CD9">
        <w:rPr>
          <w:rFonts w:ascii="Arial" w:hAnsi="Arial" w:cs="Arial"/>
          <w:b/>
          <w:sz w:val="24"/>
          <w:szCs w:val="24"/>
        </w:rPr>
        <w:t>related statements</w:t>
      </w:r>
      <w:r w:rsidRPr="00CA70D8">
        <w:rPr>
          <w:rFonts w:ascii="Arial" w:hAnsi="Arial" w:cs="Arial"/>
          <w:sz w:val="24"/>
          <w:szCs w:val="24"/>
        </w:rPr>
        <w:t xml:space="preserve"> be allowed in the advertising of cannabis products</w:t>
      </w:r>
      <w:r w:rsidR="00A30DC2">
        <w:rPr>
          <w:rFonts w:ascii="Arial" w:hAnsi="Arial" w:cs="Arial"/>
          <w:sz w:val="24"/>
          <w:szCs w:val="24"/>
        </w:rPr>
        <w:t xml:space="preserve"> of any type</w:t>
      </w:r>
      <w:r w:rsidRPr="00CA70D8">
        <w:rPr>
          <w:rFonts w:ascii="Arial" w:hAnsi="Arial" w:cs="Arial"/>
          <w:sz w:val="24"/>
          <w:szCs w:val="24"/>
        </w:rPr>
        <w:t xml:space="preserve">. </w:t>
      </w:r>
      <w:r w:rsidR="00594D83">
        <w:rPr>
          <w:rFonts w:ascii="Arial" w:hAnsi="Arial" w:cs="Arial"/>
          <w:sz w:val="24"/>
          <w:szCs w:val="24"/>
        </w:rPr>
        <w:t>The proposal to prohibit the use of</w:t>
      </w:r>
      <w:r w:rsidR="00635516">
        <w:rPr>
          <w:rFonts w:ascii="Arial" w:hAnsi="Arial" w:cs="Arial"/>
          <w:sz w:val="24"/>
          <w:szCs w:val="24"/>
        </w:rPr>
        <w:t xml:space="preserve"> </w:t>
      </w:r>
      <w:r w:rsidRPr="00CA70D8">
        <w:rPr>
          <w:rFonts w:ascii="Arial" w:hAnsi="Arial" w:cs="Arial"/>
          <w:sz w:val="24"/>
          <w:szCs w:val="24"/>
        </w:rPr>
        <w:t>health</w:t>
      </w:r>
      <w:r w:rsidR="00594D83">
        <w:rPr>
          <w:rFonts w:ascii="Arial" w:hAnsi="Arial" w:cs="Arial"/>
          <w:sz w:val="24"/>
          <w:szCs w:val="24"/>
        </w:rPr>
        <w:t xml:space="preserve"> or therapeutic </w:t>
      </w:r>
      <w:r w:rsidRPr="00CA70D8">
        <w:rPr>
          <w:rFonts w:ascii="Arial" w:hAnsi="Arial" w:cs="Arial"/>
          <w:sz w:val="24"/>
          <w:szCs w:val="24"/>
        </w:rPr>
        <w:t>claims in advertising</w:t>
      </w:r>
      <w:r w:rsidR="00594D83">
        <w:rPr>
          <w:rFonts w:ascii="Arial" w:hAnsi="Arial" w:cs="Arial"/>
          <w:sz w:val="24"/>
          <w:szCs w:val="24"/>
        </w:rPr>
        <w:t xml:space="preserve"> for recreational products was endorsed by</w:t>
      </w:r>
      <w:r w:rsidRPr="00CA70D8">
        <w:rPr>
          <w:rFonts w:ascii="Arial" w:hAnsi="Arial" w:cs="Arial"/>
          <w:sz w:val="24"/>
          <w:szCs w:val="24"/>
        </w:rPr>
        <w:t xml:space="preserve"> the State </w:t>
      </w:r>
      <w:r w:rsidR="0075536B">
        <w:rPr>
          <w:rFonts w:ascii="Arial" w:hAnsi="Arial" w:cs="Arial"/>
          <w:sz w:val="24"/>
          <w:szCs w:val="24"/>
        </w:rPr>
        <w:t>Cannabis A</w:t>
      </w:r>
      <w:r w:rsidRPr="00CA70D8">
        <w:rPr>
          <w:rFonts w:ascii="Arial" w:hAnsi="Arial" w:cs="Arial"/>
          <w:sz w:val="24"/>
          <w:szCs w:val="24"/>
        </w:rPr>
        <w:t xml:space="preserve">dvisory </w:t>
      </w:r>
      <w:r w:rsidR="0075536B">
        <w:rPr>
          <w:rFonts w:ascii="Arial" w:hAnsi="Arial" w:cs="Arial"/>
          <w:sz w:val="24"/>
          <w:szCs w:val="24"/>
        </w:rPr>
        <w:t>Committee</w:t>
      </w:r>
      <w:r w:rsidRPr="00CA70D8">
        <w:rPr>
          <w:rFonts w:ascii="Arial" w:hAnsi="Arial" w:cs="Arial"/>
          <w:sz w:val="24"/>
          <w:szCs w:val="24"/>
        </w:rPr>
        <w:t>. The following is an excerpt from their minutes:</w:t>
      </w:r>
    </w:p>
    <w:p w14:paraId="3A5871EA" w14:textId="77777777" w:rsidR="00BD567B" w:rsidRPr="00AB0CD9" w:rsidRDefault="00BD567B" w:rsidP="00AD7828">
      <w:pPr>
        <w:pStyle w:val="FootnoteText"/>
        <w:spacing w:after="120"/>
        <w:ind w:right="-720"/>
        <w:jc w:val="both"/>
        <w:rPr>
          <w:rFonts w:ascii="Arial" w:hAnsi="Arial" w:cs="Arial"/>
          <w:i/>
          <w:sz w:val="24"/>
          <w:szCs w:val="24"/>
        </w:rPr>
      </w:pPr>
      <w:r w:rsidRPr="00AB0CD9">
        <w:rPr>
          <w:rFonts w:ascii="Arial" w:hAnsi="Arial" w:cs="Arial"/>
          <w:i/>
          <w:sz w:val="24"/>
          <w:szCs w:val="24"/>
        </w:rPr>
        <w:t>“RECOMMENDATION #4: Health Claim Advertising</w:t>
      </w:r>
    </w:p>
    <w:p w14:paraId="6E16E6D6" w14:textId="77777777" w:rsidR="00BD567B" w:rsidRPr="00AB0CD9" w:rsidRDefault="00BD567B" w:rsidP="00AD7828">
      <w:pPr>
        <w:pStyle w:val="FootnoteText"/>
        <w:spacing w:after="120"/>
        <w:ind w:right="-720"/>
        <w:jc w:val="both"/>
        <w:rPr>
          <w:rFonts w:ascii="Arial" w:hAnsi="Arial" w:cs="Arial"/>
          <w:i/>
          <w:sz w:val="24"/>
          <w:szCs w:val="24"/>
        </w:rPr>
      </w:pPr>
      <w:r w:rsidRPr="00AB0CD9">
        <w:rPr>
          <w:rFonts w:ascii="Arial" w:hAnsi="Arial" w:cs="Arial"/>
          <w:i/>
          <w:sz w:val="24"/>
          <w:szCs w:val="24"/>
        </w:rPr>
        <w:t>Adopted by the Subcommittee on: 3-1-18 Vote: 3-0-2</w:t>
      </w:r>
    </w:p>
    <w:p w14:paraId="53A7EEFE" w14:textId="16049D7B" w:rsidR="00BD567B" w:rsidRPr="003E7447" w:rsidRDefault="00BD567B" w:rsidP="00AD7828">
      <w:pPr>
        <w:pStyle w:val="FootnoteText"/>
        <w:spacing w:after="120"/>
        <w:ind w:right="-720"/>
        <w:jc w:val="both"/>
        <w:rPr>
          <w:rFonts w:ascii="Arial" w:hAnsi="Arial" w:cs="Arial"/>
          <w:i/>
          <w:sz w:val="24"/>
          <w:szCs w:val="24"/>
        </w:rPr>
      </w:pPr>
      <w:r w:rsidRPr="00AB0CD9">
        <w:rPr>
          <w:rFonts w:ascii="Arial" w:hAnsi="Arial" w:cs="Arial"/>
          <w:i/>
          <w:sz w:val="24"/>
          <w:szCs w:val="24"/>
        </w:rPr>
        <w:t>Recommendation: Adult-use cannabis should not be allowed to make health claims in advertising.</w:t>
      </w:r>
    </w:p>
    <w:p w14:paraId="04DA8760" w14:textId="68B198AB" w:rsidR="00BD567B" w:rsidRPr="00D10959" w:rsidRDefault="00BD567B" w:rsidP="00AD7828">
      <w:pPr>
        <w:pStyle w:val="FootnoteText"/>
        <w:spacing w:after="120"/>
        <w:ind w:right="-720"/>
        <w:jc w:val="both"/>
        <w:rPr>
          <w:rFonts w:ascii="Arial" w:hAnsi="Arial" w:cs="Arial"/>
          <w:sz w:val="24"/>
          <w:szCs w:val="24"/>
        </w:rPr>
      </w:pPr>
      <w:r w:rsidRPr="00CA70D8">
        <w:rPr>
          <w:rFonts w:ascii="Arial" w:hAnsi="Arial" w:cs="Arial"/>
          <w:sz w:val="24"/>
          <w:szCs w:val="24"/>
        </w:rPr>
        <w:t>Given the absence of any legal and verifiable framework for identifying the veracity of claims, medicinal cannabis uses should be guided by</w:t>
      </w:r>
      <w:r w:rsidRPr="00D10959">
        <w:rPr>
          <w:rFonts w:ascii="Arial" w:hAnsi="Arial" w:cs="Arial"/>
          <w:sz w:val="24"/>
          <w:szCs w:val="24"/>
        </w:rPr>
        <w:t xml:space="preserve"> the medical knowledge of the prescribing physician or professional based on science. Adult use cannabis should </w:t>
      </w:r>
      <w:r w:rsidR="00A30DC2">
        <w:rPr>
          <w:rFonts w:ascii="Arial" w:hAnsi="Arial" w:cs="Arial"/>
          <w:sz w:val="24"/>
          <w:szCs w:val="24"/>
        </w:rPr>
        <w:t xml:space="preserve">especially </w:t>
      </w:r>
      <w:r w:rsidRPr="00D10959">
        <w:rPr>
          <w:rFonts w:ascii="Arial" w:hAnsi="Arial" w:cs="Arial"/>
          <w:sz w:val="24"/>
          <w:szCs w:val="24"/>
        </w:rPr>
        <w:t>not be marketed</w:t>
      </w:r>
      <w:r>
        <w:rPr>
          <w:rFonts w:ascii="Arial" w:hAnsi="Arial" w:cs="Arial"/>
          <w:sz w:val="24"/>
          <w:szCs w:val="24"/>
        </w:rPr>
        <w:t xml:space="preserve"> </w:t>
      </w:r>
      <w:r w:rsidRPr="00D10959">
        <w:rPr>
          <w:rFonts w:ascii="Arial" w:hAnsi="Arial" w:cs="Arial"/>
          <w:sz w:val="24"/>
          <w:szCs w:val="24"/>
        </w:rPr>
        <w:t xml:space="preserve">or advertised as therapeutic. Claims in relation to being “natural” or to potency other than factual statements of THC or CBD content should also not be allowed in either marketing materials or advertising. </w:t>
      </w:r>
    </w:p>
    <w:p w14:paraId="792C2CBE" w14:textId="7B5FFE05" w:rsidR="00BD567B" w:rsidRPr="00BD567B" w:rsidRDefault="00BD567B" w:rsidP="00AD7828">
      <w:pPr>
        <w:spacing w:after="120"/>
        <w:ind w:right="-720"/>
        <w:jc w:val="both"/>
        <w:rPr>
          <w:rFonts w:ascii="Arial" w:hAnsi="Arial" w:cs="Arial"/>
        </w:rPr>
      </w:pPr>
      <w:r w:rsidRPr="00BD567B">
        <w:rPr>
          <w:rStyle w:val="apple-converted-space"/>
          <w:rFonts w:ascii="Arial" w:hAnsi="Arial" w:cs="Arial"/>
        </w:rPr>
        <w:t xml:space="preserve">We strongly recommend the </w:t>
      </w:r>
      <w:r w:rsidRPr="00AB0CD9">
        <w:rPr>
          <w:rStyle w:val="apple-converted-space"/>
          <w:rFonts w:ascii="Arial" w:hAnsi="Arial" w:cs="Arial"/>
          <w:b/>
        </w:rPr>
        <w:t>requirement for a prominent rotating warning label statement on any and all cannabis advertising</w:t>
      </w:r>
      <w:r w:rsidRPr="00BD567B">
        <w:rPr>
          <w:rStyle w:val="apple-converted-space"/>
          <w:rFonts w:ascii="Arial" w:hAnsi="Arial" w:cs="Arial"/>
        </w:rPr>
        <w:t xml:space="preserve">, similar to that on tobacco advertising, including on branded merchandise. Any advertiser who posts or who causes to be posted a Cannabis Retail business, Cannabis or Cannabis Product advertisement </w:t>
      </w:r>
      <w:r w:rsidRPr="00BD567B">
        <w:rPr>
          <w:rFonts w:ascii="Arial" w:hAnsi="Arial" w:cs="Arial"/>
          <w:w w:val="105"/>
          <w:position w:val="1"/>
        </w:rPr>
        <w:t>including,</w:t>
      </w:r>
      <w:r w:rsidRPr="00BD567B">
        <w:rPr>
          <w:rFonts w:ascii="Arial" w:hAnsi="Arial" w:cs="Arial"/>
          <w:spacing w:val="-1"/>
          <w:w w:val="105"/>
          <w:position w:val="1"/>
        </w:rPr>
        <w:t xml:space="preserve"> </w:t>
      </w:r>
      <w:r w:rsidRPr="00BD567B">
        <w:rPr>
          <w:rFonts w:ascii="Arial" w:hAnsi="Arial" w:cs="Arial"/>
          <w:w w:val="105"/>
          <w:position w:val="1"/>
        </w:rPr>
        <w:t>without</w:t>
      </w:r>
      <w:r w:rsidRPr="00BD567B">
        <w:rPr>
          <w:rFonts w:ascii="Arial" w:hAnsi="Arial" w:cs="Arial"/>
          <w:spacing w:val="-11"/>
          <w:w w:val="105"/>
          <w:position w:val="1"/>
        </w:rPr>
        <w:t xml:space="preserve"> </w:t>
      </w:r>
      <w:r w:rsidRPr="00BD567B">
        <w:rPr>
          <w:rFonts w:ascii="Arial" w:hAnsi="Arial" w:cs="Arial"/>
          <w:w w:val="105"/>
          <w:position w:val="1"/>
        </w:rPr>
        <w:t>limitation,</w:t>
      </w:r>
      <w:r w:rsidRPr="00BD567B">
        <w:rPr>
          <w:rFonts w:ascii="Arial" w:hAnsi="Arial" w:cs="Arial"/>
          <w:spacing w:val="-3"/>
          <w:w w:val="105"/>
          <w:position w:val="1"/>
        </w:rPr>
        <w:t xml:space="preserve"> </w:t>
      </w:r>
      <w:r w:rsidRPr="00BD567B">
        <w:rPr>
          <w:rFonts w:ascii="Arial" w:hAnsi="Arial" w:cs="Arial"/>
          <w:w w:val="105"/>
          <w:position w:val="1"/>
        </w:rPr>
        <w:t>any</w:t>
      </w:r>
      <w:r w:rsidRPr="00BD567B">
        <w:rPr>
          <w:rFonts w:ascii="Arial" w:hAnsi="Arial" w:cs="Arial"/>
          <w:spacing w:val="-17"/>
          <w:w w:val="105"/>
          <w:position w:val="1"/>
        </w:rPr>
        <w:t xml:space="preserve"> </w:t>
      </w:r>
      <w:r w:rsidRPr="00BD567B">
        <w:rPr>
          <w:rFonts w:ascii="Arial" w:hAnsi="Arial" w:cs="Arial"/>
          <w:w w:val="105"/>
          <w:position w:val="1"/>
        </w:rPr>
        <w:t>logo,</w:t>
      </w:r>
      <w:r w:rsidRPr="00BD567B">
        <w:rPr>
          <w:rFonts w:ascii="Arial" w:hAnsi="Arial" w:cs="Arial"/>
          <w:spacing w:val="-6"/>
          <w:w w:val="105"/>
          <w:position w:val="1"/>
        </w:rPr>
        <w:t xml:space="preserve"> </w:t>
      </w:r>
      <w:r w:rsidRPr="00BD567B">
        <w:rPr>
          <w:rFonts w:ascii="Arial" w:hAnsi="Arial" w:cs="Arial"/>
          <w:w w:val="105"/>
          <w:position w:val="1"/>
        </w:rPr>
        <w:t>that</w:t>
      </w:r>
      <w:r w:rsidRPr="00BD567B">
        <w:rPr>
          <w:rFonts w:ascii="Arial" w:hAnsi="Arial" w:cs="Arial"/>
          <w:spacing w:val="-10"/>
          <w:w w:val="105"/>
          <w:position w:val="1"/>
        </w:rPr>
        <w:t xml:space="preserve"> </w:t>
      </w:r>
      <w:r w:rsidRPr="00BD567B">
        <w:rPr>
          <w:rFonts w:ascii="Arial" w:hAnsi="Arial" w:cs="Arial"/>
          <w:w w:val="105"/>
          <w:position w:val="1"/>
        </w:rPr>
        <w:t>identifies, promotes, or</w:t>
      </w:r>
      <w:r w:rsidRPr="00BD567B">
        <w:rPr>
          <w:rFonts w:ascii="Arial" w:hAnsi="Arial" w:cs="Arial"/>
          <w:spacing w:val="-9"/>
          <w:w w:val="105"/>
          <w:position w:val="1"/>
        </w:rPr>
        <w:t xml:space="preserve"> </w:t>
      </w:r>
      <w:r w:rsidRPr="00BD567B">
        <w:rPr>
          <w:rFonts w:ascii="Arial" w:hAnsi="Arial" w:cs="Arial"/>
          <w:w w:val="105"/>
          <w:position w:val="1"/>
        </w:rPr>
        <w:t>markets</w:t>
      </w:r>
      <w:r w:rsidRPr="00BD567B">
        <w:rPr>
          <w:rFonts w:ascii="Arial" w:hAnsi="Arial" w:cs="Arial"/>
          <w:spacing w:val="-11"/>
          <w:w w:val="105"/>
          <w:position w:val="1"/>
        </w:rPr>
        <w:t xml:space="preserve"> a retailer name, Cannabis or a Cannabis Product, or brand name </w:t>
      </w:r>
      <w:r w:rsidRPr="00BD567B">
        <w:rPr>
          <w:rFonts w:ascii="Arial" w:hAnsi="Arial" w:cs="Arial"/>
          <w:w w:val="105"/>
          <w:position w:val="1"/>
        </w:rPr>
        <w:t>that is for</w:t>
      </w:r>
      <w:r w:rsidRPr="00BD567B">
        <w:rPr>
          <w:rFonts w:ascii="Arial" w:hAnsi="Arial" w:cs="Arial"/>
          <w:spacing w:val="-18"/>
          <w:w w:val="105"/>
          <w:position w:val="1"/>
        </w:rPr>
        <w:t xml:space="preserve"> </w:t>
      </w:r>
      <w:r w:rsidRPr="00BD567B">
        <w:rPr>
          <w:rFonts w:ascii="Arial" w:hAnsi="Arial" w:cs="Arial"/>
          <w:w w:val="105"/>
          <w:position w:val="1"/>
        </w:rPr>
        <w:t>sale</w:t>
      </w:r>
      <w:r w:rsidRPr="00BD567B">
        <w:rPr>
          <w:rFonts w:ascii="Arial" w:hAnsi="Arial" w:cs="Arial"/>
          <w:spacing w:val="-8"/>
          <w:w w:val="105"/>
          <w:position w:val="1"/>
        </w:rPr>
        <w:t xml:space="preserve"> in the State </w:t>
      </w:r>
      <w:r w:rsidRPr="00BD567B">
        <w:rPr>
          <w:rStyle w:val="apple-converted-space"/>
          <w:rFonts w:ascii="Arial" w:hAnsi="Arial" w:cs="Arial"/>
        </w:rPr>
        <w:t>should be required to place on the advertisement one of the following warning statements:</w:t>
      </w:r>
    </w:p>
    <w:p w14:paraId="2EBD5E00" w14:textId="77777777" w:rsidR="00BD567B" w:rsidRPr="00D10959" w:rsidRDefault="00BD567B" w:rsidP="00AD7828">
      <w:pPr>
        <w:pStyle w:val="LevelA"/>
        <w:numPr>
          <w:ilvl w:val="0"/>
          <w:numId w:val="16"/>
        </w:numPr>
        <w:suppressAutoHyphens/>
        <w:spacing w:after="120"/>
        <w:ind w:right="-720"/>
        <w:jc w:val="both"/>
        <w:rPr>
          <w:rStyle w:val="apple-converted-space"/>
          <w:rFonts w:ascii="Arial" w:hAnsi="Arial" w:cs="Arial"/>
          <w:color w:val="000000"/>
          <w:szCs w:val="24"/>
        </w:rPr>
      </w:pPr>
      <w:r w:rsidRPr="00D10959">
        <w:rPr>
          <w:rFonts w:ascii="Arial" w:hAnsi="Arial" w:cs="Arial"/>
          <w:b/>
          <w:color w:val="000000" w:themeColor="text1"/>
          <w:szCs w:val="24"/>
        </w:rPr>
        <w:t xml:space="preserve">Are you pregnant or breastfeeding? </w:t>
      </w:r>
      <w:r w:rsidRPr="00D10959">
        <w:rPr>
          <w:rFonts w:ascii="Arial" w:hAnsi="Arial" w:cs="Arial"/>
          <w:color w:val="000000" w:themeColor="text1"/>
          <w:szCs w:val="24"/>
        </w:rPr>
        <w:t xml:space="preserve">Marijuana use during pregnancy can be harmful to your baby’s health, including causing </w:t>
      </w:r>
      <w:r w:rsidRPr="00D10959">
        <w:rPr>
          <w:rStyle w:val="apple-converted-space"/>
          <w:rFonts w:ascii="Arial" w:hAnsi="Arial" w:cs="Arial"/>
          <w:szCs w:val="24"/>
        </w:rPr>
        <w:t>low birth weight and developmental problems according to the Centers for Disease Control and Prevention.</w:t>
      </w:r>
    </w:p>
    <w:p w14:paraId="31CBEBE9" w14:textId="77777777" w:rsidR="00BD567B" w:rsidRPr="00D10959" w:rsidRDefault="00BD567B" w:rsidP="00AD7828">
      <w:pPr>
        <w:pStyle w:val="LevelA"/>
        <w:numPr>
          <w:ilvl w:val="0"/>
          <w:numId w:val="16"/>
        </w:numPr>
        <w:suppressAutoHyphens/>
        <w:spacing w:after="120"/>
        <w:ind w:right="-720"/>
        <w:jc w:val="both"/>
        <w:rPr>
          <w:rFonts w:ascii="Arial" w:hAnsi="Arial" w:cs="Arial"/>
          <w:szCs w:val="24"/>
        </w:rPr>
      </w:pPr>
      <w:r w:rsidRPr="00D10959">
        <w:rPr>
          <w:rFonts w:ascii="Arial" w:hAnsi="Arial" w:cs="Arial"/>
          <w:b/>
          <w:color w:val="000000" w:themeColor="text1"/>
          <w:szCs w:val="24"/>
        </w:rPr>
        <w:t>Driving while high is a DUI.</w:t>
      </w:r>
      <w:r w:rsidRPr="00D10959">
        <w:rPr>
          <w:rFonts w:ascii="Arial" w:hAnsi="Arial" w:cs="Arial"/>
          <w:color w:val="000000" w:themeColor="text1"/>
          <w:szCs w:val="24"/>
        </w:rPr>
        <w:t xml:space="preserve"> </w:t>
      </w:r>
      <w:r w:rsidRPr="00D10959">
        <w:rPr>
          <w:rStyle w:val="apple-converted-space"/>
          <w:rFonts w:ascii="Arial" w:hAnsi="Arial" w:cs="Arial"/>
          <w:szCs w:val="24"/>
        </w:rPr>
        <w:t xml:space="preserve">Marijuana use </w:t>
      </w:r>
      <w:r w:rsidRPr="00D10959">
        <w:rPr>
          <w:rFonts w:ascii="Arial" w:hAnsi="Arial" w:cs="Arial"/>
          <w:szCs w:val="24"/>
        </w:rPr>
        <w:t>increases your risk of motor vehicle crashes.</w:t>
      </w:r>
    </w:p>
    <w:p w14:paraId="77260F2D" w14:textId="77777777" w:rsidR="00BD567B" w:rsidRPr="00D10959" w:rsidRDefault="00BD567B" w:rsidP="00AD7828">
      <w:pPr>
        <w:pStyle w:val="LevelA"/>
        <w:numPr>
          <w:ilvl w:val="0"/>
          <w:numId w:val="16"/>
        </w:numPr>
        <w:spacing w:after="120"/>
        <w:ind w:right="-720"/>
        <w:jc w:val="both"/>
        <w:rPr>
          <w:rStyle w:val="apple-converted-space"/>
          <w:rFonts w:ascii="Arial" w:hAnsi="Arial" w:cs="Arial"/>
          <w:szCs w:val="24"/>
        </w:rPr>
      </w:pPr>
      <w:r w:rsidRPr="00D10959">
        <w:rPr>
          <w:rStyle w:val="apple-converted-space"/>
          <w:rFonts w:ascii="Arial" w:hAnsi="Arial" w:cs="Arial"/>
          <w:b/>
          <w:szCs w:val="24"/>
        </w:rPr>
        <w:t>Not for Kids or Teens!</w:t>
      </w:r>
      <w:r w:rsidRPr="00D10959">
        <w:rPr>
          <w:rStyle w:val="apple-converted-space"/>
          <w:rFonts w:ascii="Arial" w:hAnsi="Arial" w:cs="Arial"/>
          <w:szCs w:val="24"/>
        </w:rPr>
        <w:t xml:space="preserve"> Starting marijuana use young or using frequently</w:t>
      </w:r>
      <w:r>
        <w:rPr>
          <w:rStyle w:val="apple-converted-space"/>
          <w:rFonts w:ascii="Arial" w:hAnsi="Arial" w:cs="Arial"/>
          <w:szCs w:val="24"/>
        </w:rPr>
        <w:t xml:space="preserve"> </w:t>
      </w:r>
      <w:r w:rsidRPr="00D10959">
        <w:rPr>
          <w:rStyle w:val="apple-converted-space"/>
          <w:rFonts w:ascii="Arial" w:hAnsi="Arial" w:cs="Arial"/>
          <w:szCs w:val="24"/>
        </w:rPr>
        <w:t xml:space="preserve">may lead to problem use and, according to the </w:t>
      </w:r>
      <w:r w:rsidRPr="00D10959">
        <w:rPr>
          <w:rFonts w:ascii="Arial" w:hAnsi="Arial" w:cs="Arial"/>
          <w:color w:val="000000" w:themeColor="text1"/>
          <w:szCs w:val="24"/>
        </w:rPr>
        <w:t>Centers for Disease Control and Prevention,</w:t>
      </w:r>
      <w:r>
        <w:rPr>
          <w:rFonts w:ascii="Arial" w:hAnsi="Arial" w:cs="Arial"/>
          <w:color w:val="000000" w:themeColor="text1"/>
          <w:szCs w:val="24"/>
        </w:rPr>
        <w:t xml:space="preserve"> </w:t>
      </w:r>
      <w:r w:rsidRPr="00D10959">
        <w:rPr>
          <w:rStyle w:val="apple-converted-space"/>
          <w:rFonts w:ascii="Arial" w:hAnsi="Arial" w:cs="Arial"/>
          <w:szCs w:val="24"/>
        </w:rPr>
        <w:t>may harm the developing teen brain.</w:t>
      </w:r>
    </w:p>
    <w:p w14:paraId="0A2120C5" w14:textId="77777777" w:rsidR="00BD567B" w:rsidRPr="00D10959" w:rsidRDefault="00BD567B" w:rsidP="00AD7828">
      <w:pPr>
        <w:pStyle w:val="LevelA"/>
        <w:numPr>
          <w:ilvl w:val="0"/>
          <w:numId w:val="16"/>
        </w:numPr>
        <w:suppressAutoHyphens/>
        <w:spacing w:after="120"/>
        <w:ind w:right="-720"/>
        <w:jc w:val="both"/>
        <w:rPr>
          <w:rStyle w:val="apple-converted-space"/>
          <w:rFonts w:ascii="Arial" w:hAnsi="Arial" w:cs="Arial"/>
          <w:szCs w:val="24"/>
        </w:rPr>
      </w:pPr>
      <w:r w:rsidRPr="00D10959">
        <w:rPr>
          <w:rStyle w:val="apple-converted-space"/>
          <w:rFonts w:ascii="Arial" w:hAnsi="Arial" w:cs="Arial"/>
          <w:szCs w:val="24"/>
        </w:rPr>
        <w:lastRenderedPageBreak/>
        <w:t xml:space="preserve">Marijuana use may be associated with </w:t>
      </w:r>
      <w:r w:rsidRPr="00D10959">
        <w:rPr>
          <w:rStyle w:val="apple-converted-space"/>
          <w:rFonts w:ascii="Arial" w:hAnsi="Arial" w:cs="Arial"/>
          <w:b/>
          <w:szCs w:val="24"/>
        </w:rPr>
        <w:t>greater risk of developing schizophrenia</w:t>
      </w:r>
      <w:r w:rsidRPr="00D10959">
        <w:rPr>
          <w:rStyle w:val="apple-converted-space"/>
          <w:rFonts w:ascii="Arial" w:hAnsi="Arial" w:cs="Arial"/>
          <w:szCs w:val="24"/>
        </w:rPr>
        <w:t xml:space="preserve"> </w:t>
      </w:r>
      <w:r w:rsidRPr="00D10959">
        <w:rPr>
          <w:rFonts w:ascii="Arial" w:hAnsi="Arial" w:cs="Arial"/>
          <w:szCs w:val="24"/>
        </w:rPr>
        <w:t>or other psychoses. Risk is highest for frequent users.</w:t>
      </w:r>
    </w:p>
    <w:p w14:paraId="33F2DCF1" w14:textId="77777777" w:rsidR="00BD567B" w:rsidRPr="00D10959" w:rsidRDefault="00BD567B" w:rsidP="00AD7828">
      <w:pPr>
        <w:pStyle w:val="LevelA"/>
        <w:numPr>
          <w:ilvl w:val="0"/>
          <w:numId w:val="16"/>
        </w:numPr>
        <w:suppressAutoHyphens/>
        <w:spacing w:after="120"/>
        <w:ind w:right="-720"/>
        <w:jc w:val="both"/>
        <w:rPr>
          <w:rFonts w:ascii="Arial" w:hAnsi="Arial" w:cs="Arial"/>
          <w:color w:val="000000" w:themeColor="text1"/>
          <w:szCs w:val="24"/>
        </w:rPr>
      </w:pPr>
      <w:r w:rsidRPr="00D10959">
        <w:rPr>
          <w:rStyle w:val="apple-converted-space"/>
          <w:rFonts w:ascii="Arial" w:hAnsi="Arial" w:cs="Arial"/>
          <w:szCs w:val="24"/>
        </w:rPr>
        <w:t xml:space="preserve">Smoking marijuana long term may </w:t>
      </w:r>
      <w:r w:rsidRPr="00D10959">
        <w:rPr>
          <w:rStyle w:val="apple-converted-space"/>
          <w:rFonts w:ascii="Arial" w:hAnsi="Arial" w:cs="Arial"/>
          <w:b/>
          <w:szCs w:val="24"/>
        </w:rPr>
        <w:t>make breathing problems worse</w:t>
      </w:r>
      <w:r w:rsidRPr="00D10959">
        <w:rPr>
          <w:rStyle w:val="apple-converted-space"/>
          <w:rFonts w:ascii="Arial" w:hAnsi="Arial" w:cs="Arial"/>
          <w:szCs w:val="24"/>
        </w:rPr>
        <w:t>.</w:t>
      </w:r>
      <w:r w:rsidRPr="00D10959" w:rsidDel="006372E5">
        <w:rPr>
          <w:rFonts w:ascii="Arial" w:hAnsi="Arial" w:cs="Arial"/>
          <w:color w:val="000000" w:themeColor="text1"/>
          <w:szCs w:val="24"/>
        </w:rPr>
        <w:t xml:space="preserve"> </w:t>
      </w:r>
    </w:p>
    <w:p w14:paraId="0712C5F2" w14:textId="39F4CE2E" w:rsidR="00BD567B" w:rsidRPr="00D10959" w:rsidRDefault="00BD567B" w:rsidP="00AD7828">
      <w:pPr>
        <w:pStyle w:val="LevelA"/>
        <w:suppressAutoHyphens/>
        <w:spacing w:after="120"/>
        <w:ind w:right="-720"/>
        <w:jc w:val="both"/>
        <w:rPr>
          <w:rFonts w:ascii="Arial" w:hAnsi="Arial" w:cs="Arial"/>
          <w:color w:val="000000" w:themeColor="text1"/>
          <w:szCs w:val="24"/>
        </w:rPr>
      </w:pPr>
      <w:r w:rsidRPr="00D10959">
        <w:rPr>
          <w:rFonts w:ascii="Arial" w:hAnsi="Arial" w:cs="Arial"/>
          <w:color w:val="000000" w:themeColor="text1"/>
          <w:szCs w:val="24"/>
        </w:rPr>
        <w:t>Followed by: “</w:t>
      </w:r>
      <w:r w:rsidRPr="00D10959">
        <w:rPr>
          <w:rFonts w:ascii="Arial" w:hAnsi="Arial" w:cs="Arial"/>
          <w:b/>
          <w:color w:val="000000" w:themeColor="text1"/>
          <w:szCs w:val="24"/>
        </w:rPr>
        <w:t>Warning from the State of California.</w:t>
      </w:r>
    </w:p>
    <w:p w14:paraId="4676ACDE" w14:textId="6C0A2181" w:rsidR="00BD567B" w:rsidRPr="00BD567B" w:rsidRDefault="00CA70D8" w:rsidP="00AD7828">
      <w:pPr>
        <w:pStyle w:val="LevelA"/>
        <w:tabs>
          <w:tab w:val="clear" w:pos="360"/>
          <w:tab w:val="clear" w:pos="720"/>
          <w:tab w:val="clear" w:pos="1080"/>
          <w:tab w:val="clear" w:pos="1440"/>
          <w:tab w:val="clear" w:pos="1800"/>
          <w:tab w:val="clear" w:pos="2160"/>
        </w:tabs>
        <w:suppressAutoHyphens/>
        <w:spacing w:after="120"/>
        <w:ind w:left="0" w:right="-720" w:firstLine="0"/>
        <w:jc w:val="both"/>
        <w:rPr>
          <w:rFonts w:ascii="Arial" w:hAnsi="Arial" w:cs="Arial"/>
          <w:color w:val="000000" w:themeColor="text1"/>
          <w:szCs w:val="24"/>
        </w:rPr>
      </w:pPr>
      <w:r>
        <w:rPr>
          <w:rFonts w:ascii="Arial" w:hAnsi="Arial" w:cs="Arial"/>
          <w:color w:val="000000" w:themeColor="text1"/>
          <w:szCs w:val="24"/>
        </w:rPr>
        <w:t>Advertisements and m</w:t>
      </w:r>
      <w:r w:rsidR="00BD567B" w:rsidRPr="00D10959">
        <w:rPr>
          <w:rFonts w:ascii="Arial" w:hAnsi="Arial" w:cs="Arial"/>
          <w:color w:val="000000" w:themeColor="text1"/>
          <w:szCs w:val="24"/>
        </w:rPr>
        <w:t>arketing materials should be required to include messages “(</w:t>
      </w:r>
      <w:proofErr w:type="spellStart"/>
      <w:r w:rsidR="00BD567B" w:rsidRPr="00D10959">
        <w:rPr>
          <w:rFonts w:ascii="Arial" w:hAnsi="Arial" w:cs="Arial"/>
          <w:color w:val="000000" w:themeColor="text1"/>
          <w:szCs w:val="24"/>
        </w:rPr>
        <w:t>i</w:t>
      </w:r>
      <w:proofErr w:type="spellEnd"/>
      <w:r w:rsidR="00BD567B" w:rsidRPr="00D10959">
        <w:rPr>
          <w:rFonts w:ascii="Arial" w:hAnsi="Arial" w:cs="Arial"/>
          <w:color w:val="000000" w:themeColor="text1"/>
          <w:szCs w:val="24"/>
        </w:rPr>
        <w:t>)” through “(v)” above in equal and rotating proportions and approximate audience exposure for any advertisement. These warning</w:t>
      </w:r>
      <w:r w:rsidR="00CD1395">
        <w:rPr>
          <w:rFonts w:ascii="Arial" w:hAnsi="Arial" w:cs="Arial"/>
          <w:color w:val="000000" w:themeColor="text1"/>
          <w:szCs w:val="24"/>
        </w:rPr>
        <w:t>s</w:t>
      </w:r>
      <w:r w:rsidR="00BD567B" w:rsidRPr="00D10959">
        <w:rPr>
          <w:rFonts w:ascii="Arial" w:hAnsi="Arial" w:cs="Arial"/>
          <w:color w:val="000000" w:themeColor="text1"/>
          <w:szCs w:val="24"/>
        </w:rPr>
        <w:t xml:space="preserve"> should be enclosed in a box occupying at least 20% of the surface of any advertisement or 20% of the spoken word </w:t>
      </w:r>
      <w:proofErr w:type="gramStart"/>
      <w:r w:rsidR="00BD567B" w:rsidRPr="00D10959">
        <w:rPr>
          <w:rFonts w:ascii="Arial" w:hAnsi="Arial" w:cs="Arial"/>
          <w:color w:val="000000" w:themeColor="text1"/>
          <w:szCs w:val="24"/>
        </w:rPr>
        <w:t>time, and</w:t>
      </w:r>
      <w:proofErr w:type="gramEnd"/>
      <w:r w:rsidR="00BD567B" w:rsidRPr="00D10959">
        <w:rPr>
          <w:rFonts w:ascii="Arial" w:hAnsi="Arial" w:cs="Arial"/>
          <w:color w:val="000000" w:themeColor="text1"/>
          <w:szCs w:val="24"/>
        </w:rPr>
        <w:t xml:space="preserve"> be present on each page. </w:t>
      </w:r>
      <w:r w:rsidR="00BD567B" w:rsidRPr="00D10959">
        <w:rPr>
          <w:rStyle w:val="apple-converted-space"/>
          <w:rFonts w:ascii="Arial" w:hAnsi="Arial" w:cs="Arial"/>
          <w:szCs w:val="24"/>
        </w:rPr>
        <w:t>The warning box should be required to use black type on a yellow background,</w:t>
      </w:r>
      <w:r w:rsidR="00BD567B" w:rsidRPr="00D10959">
        <w:rPr>
          <w:rFonts w:ascii="Arial" w:hAnsi="Arial" w:cs="Arial"/>
          <w:color w:val="000000" w:themeColor="text1"/>
          <w:szCs w:val="24"/>
        </w:rPr>
        <w:t xml:space="preserve"> and the text to be printed in a size and manner so as to be clearly legible to the intended viewers of the advertisements and marketing materials. The text of the Warning should be required to be positioned in the upper </w:t>
      </w:r>
      <w:proofErr w:type="gramStart"/>
      <w:r w:rsidR="00BD567B" w:rsidRPr="00D10959">
        <w:rPr>
          <w:rFonts w:ascii="Arial" w:hAnsi="Arial" w:cs="Arial"/>
          <w:color w:val="000000" w:themeColor="text1"/>
          <w:szCs w:val="24"/>
        </w:rPr>
        <w:t>right hand</w:t>
      </w:r>
      <w:proofErr w:type="gramEnd"/>
      <w:r w:rsidR="00BD567B" w:rsidRPr="00D10959">
        <w:rPr>
          <w:rFonts w:ascii="Arial" w:hAnsi="Arial" w:cs="Arial"/>
          <w:color w:val="000000" w:themeColor="text1"/>
          <w:szCs w:val="24"/>
        </w:rPr>
        <w:t xml:space="preserve"> corner such that the Warning and other information on the Advertisement or Marketing materials have the same orientation (for example, left to right, or bottom to top). The Warning should</w:t>
      </w:r>
      <w:r w:rsidR="00BD567B">
        <w:rPr>
          <w:rFonts w:ascii="Arial" w:hAnsi="Arial" w:cs="Arial"/>
          <w:color w:val="000000" w:themeColor="text1"/>
          <w:szCs w:val="24"/>
        </w:rPr>
        <w:t xml:space="preserve"> </w:t>
      </w:r>
      <w:r w:rsidR="00BD567B" w:rsidRPr="00D10959">
        <w:rPr>
          <w:rFonts w:ascii="Arial" w:hAnsi="Arial" w:cs="Arial"/>
          <w:color w:val="000000" w:themeColor="text1"/>
          <w:szCs w:val="24"/>
        </w:rPr>
        <w:t xml:space="preserve">be indelibly printed on or permanently affixed to each print Advertisement or Marketing material. </w:t>
      </w:r>
    </w:p>
    <w:p w14:paraId="51D28F53" w14:textId="77777777" w:rsidR="00BD567B" w:rsidRPr="00D10959" w:rsidRDefault="00BD567B" w:rsidP="00AD7828">
      <w:pPr>
        <w:pStyle w:val="LevelA"/>
        <w:widowControl/>
        <w:tabs>
          <w:tab w:val="clear" w:pos="360"/>
        </w:tabs>
        <w:suppressAutoHyphens/>
        <w:spacing w:after="120"/>
        <w:ind w:left="0" w:right="-720" w:firstLine="0"/>
        <w:jc w:val="both"/>
        <w:rPr>
          <w:rFonts w:ascii="Arial" w:hAnsi="Arial" w:cs="Arial"/>
          <w:szCs w:val="24"/>
        </w:rPr>
      </w:pPr>
      <w:r w:rsidRPr="00AB0CD9">
        <w:rPr>
          <w:rFonts w:ascii="Arial" w:hAnsi="Arial" w:cs="Arial"/>
          <w:b/>
          <w:szCs w:val="24"/>
        </w:rPr>
        <w:t>Advertising and Marketing materials should not be permitted</w:t>
      </w:r>
      <w:r w:rsidRPr="00D10959">
        <w:rPr>
          <w:rFonts w:ascii="Arial" w:hAnsi="Arial" w:cs="Arial"/>
          <w:szCs w:val="24"/>
        </w:rPr>
        <w:t xml:space="preserve"> to:</w:t>
      </w:r>
    </w:p>
    <w:p w14:paraId="15D1325B" w14:textId="31973DCA" w:rsidR="00BD567B" w:rsidRPr="00D10959" w:rsidRDefault="00CA70D8" w:rsidP="00AD7828">
      <w:pPr>
        <w:pStyle w:val="ListParagraph"/>
        <w:numPr>
          <w:ilvl w:val="0"/>
          <w:numId w:val="17"/>
        </w:numPr>
        <w:spacing w:after="120"/>
        <w:ind w:left="1080" w:right="-720"/>
        <w:contextualSpacing w:val="0"/>
        <w:jc w:val="both"/>
        <w:rPr>
          <w:rFonts w:ascii="Arial" w:hAnsi="Arial" w:cs="Arial"/>
        </w:rPr>
      </w:pPr>
      <w:r>
        <w:rPr>
          <w:rFonts w:ascii="Arial" w:hAnsi="Arial" w:cs="Arial"/>
        </w:rPr>
        <w:t>Display consumption of cannabis or cannabis p</w:t>
      </w:r>
      <w:r w:rsidR="00BD567B" w:rsidRPr="00D10959">
        <w:rPr>
          <w:rFonts w:ascii="Arial" w:hAnsi="Arial" w:cs="Arial"/>
        </w:rPr>
        <w:t>roducts;</w:t>
      </w:r>
    </w:p>
    <w:p w14:paraId="7C0A65FF" w14:textId="7F586CC3" w:rsidR="00BD567B" w:rsidRDefault="00BD567B" w:rsidP="00AD7828">
      <w:pPr>
        <w:pStyle w:val="ListParagraph"/>
        <w:numPr>
          <w:ilvl w:val="0"/>
          <w:numId w:val="17"/>
        </w:numPr>
        <w:spacing w:after="120"/>
        <w:ind w:left="1080" w:right="-720"/>
        <w:contextualSpacing w:val="0"/>
        <w:jc w:val="both"/>
        <w:rPr>
          <w:rFonts w:ascii="Arial" w:hAnsi="Arial" w:cs="Arial"/>
        </w:rPr>
      </w:pPr>
      <w:r w:rsidRPr="00D10959">
        <w:rPr>
          <w:rFonts w:ascii="Arial" w:hAnsi="Arial" w:cs="Arial"/>
        </w:rPr>
        <w:t>Contain mater</w:t>
      </w:r>
      <w:r w:rsidR="00CA70D8">
        <w:rPr>
          <w:rFonts w:ascii="Arial" w:hAnsi="Arial" w:cs="Arial"/>
        </w:rPr>
        <w:t>ial that encourages the use of c</w:t>
      </w:r>
      <w:r w:rsidRPr="00D10959">
        <w:rPr>
          <w:rFonts w:ascii="Arial" w:hAnsi="Arial" w:cs="Arial"/>
        </w:rPr>
        <w:t>annabis bec</w:t>
      </w:r>
      <w:r>
        <w:rPr>
          <w:rFonts w:ascii="Arial" w:hAnsi="Arial" w:cs="Arial"/>
        </w:rPr>
        <w:t>ause of its intoxicating effect;</w:t>
      </w:r>
    </w:p>
    <w:p w14:paraId="54A15298" w14:textId="43815EE3" w:rsidR="00BD567B" w:rsidRPr="00BD567B" w:rsidRDefault="00BD567B" w:rsidP="00AD7828">
      <w:pPr>
        <w:pStyle w:val="ListParagraph"/>
        <w:numPr>
          <w:ilvl w:val="0"/>
          <w:numId w:val="17"/>
        </w:numPr>
        <w:spacing w:after="120"/>
        <w:ind w:left="1080" w:right="-720"/>
        <w:contextualSpacing w:val="0"/>
        <w:jc w:val="both"/>
        <w:rPr>
          <w:rFonts w:ascii="Arial" w:hAnsi="Arial" w:cs="Arial"/>
        </w:rPr>
      </w:pPr>
      <w:r>
        <w:rPr>
          <w:rFonts w:ascii="Arial" w:hAnsi="Arial" w:cs="Arial"/>
          <w:iCs/>
        </w:rPr>
        <w:t>D</w:t>
      </w:r>
      <w:r w:rsidRPr="00BD567B">
        <w:rPr>
          <w:rFonts w:ascii="Arial" w:hAnsi="Arial" w:cs="Arial"/>
          <w:iCs/>
        </w:rPr>
        <w:t>epict activities or conditions that could be considered ris</w:t>
      </w:r>
      <w:r w:rsidR="00CA70D8">
        <w:rPr>
          <w:rFonts w:ascii="Arial" w:hAnsi="Arial" w:cs="Arial"/>
          <w:iCs/>
        </w:rPr>
        <w:t>ky when under the influence of c</w:t>
      </w:r>
      <w:r w:rsidRPr="00BD567B">
        <w:rPr>
          <w:rFonts w:ascii="Arial" w:hAnsi="Arial" w:cs="Arial"/>
          <w:iCs/>
        </w:rPr>
        <w:t>annabis, such as operating a motorized vehicle or boat, being pregnant, or breastfeeding.</w:t>
      </w:r>
    </w:p>
    <w:p w14:paraId="2BE03D6D" w14:textId="4D83B3C8" w:rsidR="00BD567B" w:rsidRPr="00BD567B" w:rsidRDefault="00BD567B" w:rsidP="00AD7828">
      <w:pPr>
        <w:pStyle w:val="ListParagraph"/>
        <w:numPr>
          <w:ilvl w:val="0"/>
          <w:numId w:val="17"/>
        </w:numPr>
        <w:spacing w:after="120"/>
        <w:ind w:left="1080" w:right="-720"/>
        <w:contextualSpacing w:val="0"/>
        <w:jc w:val="both"/>
        <w:rPr>
          <w:rFonts w:ascii="Arial" w:hAnsi="Arial" w:cs="Arial"/>
        </w:rPr>
      </w:pPr>
      <w:r>
        <w:rPr>
          <w:rFonts w:ascii="Arial" w:hAnsi="Arial" w:cs="Arial"/>
        </w:rPr>
        <w:t xml:space="preserve">Be on </w:t>
      </w:r>
      <w:r w:rsidRPr="00D10959">
        <w:rPr>
          <w:rFonts w:ascii="Arial" w:hAnsi="Arial" w:cs="Arial"/>
          <w:color w:val="000000" w:themeColor="text1"/>
        </w:rPr>
        <w:t>public property or transportation including school buses, buses, trains, transportation stops or shelters.</w:t>
      </w:r>
    </w:p>
    <w:p w14:paraId="3AE174D2" w14:textId="0C03FB80" w:rsidR="00BD567B" w:rsidRPr="00BD567B" w:rsidRDefault="00BD567B" w:rsidP="00AD7828">
      <w:pPr>
        <w:pStyle w:val="Default"/>
        <w:spacing w:after="120"/>
        <w:ind w:right="-720"/>
        <w:jc w:val="both"/>
        <w:rPr>
          <w:rFonts w:ascii="Arial" w:hAnsi="Arial" w:cs="Arial"/>
          <w:color w:val="000000" w:themeColor="text1"/>
        </w:rPr>
      </w:pPr>
      <w:r>
        <w:rPr>
          <w:rFonts w:ascii="Arial" w:hAnsi="Arial" w:cs="Arial"/>
        </w:rPr>
        <w:t xml:space="preserve">Finally, </w:t>
      </w:r>
      <w:r>
        <w:rPr>
          <w:rFonts w:ascii="Arial" w:hAnsi="Arial" w:cs="Arial"/>
          <w:color w:val="000000" w:themeColor="text1"/>
        </w:rPr>
        <w:t xml:space="preserve">an adult-use </w:t>
      </w:r>
      <w:r w:rsidRPr="000F0F9C">
        <w:rPr>
          <w:rFonts w:ascii="Arial" w:hAnsi="Arial" w:cs="Arial"/>
          <w:color w:val="000000" w:themeColor="text1"/>
        </w:rPr>
        <w:t xml:space="preserve">cannabis retailer should not be permitted to </w:t>
      </w:r>
      <w:r w:rsidRPr="00AB0CD9">
        <w:rPr>
          <w:rFonts w:ascii="Arial" w:hAnsi="Arial" w:cs="Arial"/>
          <w:b/>
          <w:color w:val="000000" w:themeColor="text1"/>
        </w:rPr>
        <w:t>use in its name</w:t>
      </w:r>
      <w:r w:rsidRPr="000F0F9C">
        <w:rPr>
          <w:rFonts w:ascii="Arial" w:hAnsi="Arial" w:cs="Arial"/>
          <w:color w:val="000000" w:themeColor="text1"/>
        </w:rPr>
        <w:t xml:space="preserve"> any </w:t>
      </w:r>
      <w:r w:rsidRPr="00AB0CD9">
        <w:rPr>
          <w:rFonts w:ascii="Arial" w:hAnsi="Arial" w:cs="Arial"/>
          <w:b/>
          <w:color w:val="000000" w:themeColor="text1"/>
        </w:rPr>
        <w:t>words or phrases implying health or therapeutic benefits</w:t>
      </w:r>
      <w:r w:rsidRPr="000F0F9C">
        <w:rPr>
          <w:rFonts w:ascii="Arial" w:hAnsi="Arial" w:cs="Arial"/>
          <w:color w:val="000000" w:themeColor="text1"/>
        </w:rPr>
        <w:t xml:space="preserve">, including but not limited to “health,” “wellness” or “clinic.” </w:t>
      </w:r>
    </w:p>
    <w:p w14:paraId="52401C36" w14:textId="77777777" w:rsidR="003B3F51" w:rsidRPr="0054635B" w:rsidRDefault="003B3F51" w:rsidP="001927FE">
      <w:pPr>
        <w:spacing w:after="120"/>
        <w:ind w:right="-720"/>
        <w:jc w:val="both"/>
        <w:rPr>
          <w:rFonts w:ascii="Arial" w:hAnsi="Arial" w:cs="Arial"/>
        </w:rPr>
      </w:pPr>
    </w:p>
    <w:p w14:paraId="33808E47" w14:textId="23775E71" w:rsidR="006A7C9C" w:rsidRPr="00FB492E" w:rsidRDefault="006A7C9C" w:rsidP="001927FE">
      <w:pPr>
        <w:pStyle w:val="ListParagraph"/>
        <w:numPr>
          <w:ilvl w:val="0"/>
          <w:numId w:val="7"/>
        </w:numPr>
        <w:tabs>
          <w:tab w:val="left" w:pos="360"/>
        </w:tabs>
        <w:spacing w:after="120"/>
        <w:jc w:val="both"/>
        <w:rPr>
          <w:rFonts w:ascii="Arial" w:hAnsi="Arial" w:cs="Arial"/>
          <w:i/>
        </w:rPr>
      </w:pPr>
      <w:r w:rsidRPr="00FB492E">
        <w:rPr>
          <w:rFonts w:ascii="Arial" w:hAnsi="Arial" w:cs="Arial"/>
          <w:i/>
        </w:rPr>
        <w:t>§ 5040. Advertising Placement</w:t>
      </w:r>
      <w:r w:rsidR="00FB492E" w:rsidRPr="00FB492E">
        <w:rPr>
          <w:rFonts w:ascii="Arial" w:hAnsi="Arial" w:cs="Arial"/>
          <w:i/>
        </w:rPr>
        <w:t xml:space="preserve"> </w:t>
      </w:r>
      <w:r w:rsidRPr="00FB492E">
        <w:rPr>
          <w:rFonts w:ascii="Arial" w:hAnsi="Arial" w:cs="Arial"/>
          <w:i/>
        </w:rPr>
        <w:t>(c) For the purposes of this section, “reliable up-to-date audience composition data” means data regarding the age and location demographics of the audience viewing a particular advertising or marketing medium.</w:t>
      </w:r>
    </w:p>
    <w:p w14:paraId="47AEE233" w14:textId="7F968EC7" w:rsidR="001B3D32" w:rsidRDefault="003B3F51" w:rsidP="001927FE">
      <w:pPr>
        <w:spacing w:after="120"/>
        <w:ind w:right="-720"/>
        <w:jc w:val="both"/>
        <w:outlineLvl w:val="0"/>
        <w:rPr>
          <w:rFonts w:ascii="Arial" w:hAnsi="Arial" w:cs="Arial"/>
        </w:rPr>
      </w:pPr>
      <w:r>
        <w:rPr>
          <w:rFonts w:ascii="Arial" w:hAnsi="Arial" w:cs="Arial"/>
        </w:rPr>
        <w:t xml:space="preserve">The definition should specify “reliable, up-to-date, </w:t>
      </w:r>
      <w:r w:rsidRPr="003B3F51">
        <w:rPr>
          <w:rFonts w:ascii="Arial" w:hAnsi="Arial" w:cs="Arial"/>
          <w:b/>
          <w:i/>
        </w:rPr>
        <w:t>local</w:t>
      </w:r>
      <w:r>
        <w:rPr>
          <w:rFonts w:ascii="Arial" w:hAnsi="Arial" w:cs="Arial"/>
        </w:rPr>
        <w:t xml:space="preserve"> audience composition data.” </w:t>
      </w:r>
      <w:r w:rsidR="005F2995">
        <w:rPr>
          <w:rFonts w:ascii="Arial" w:hAnsi="Arial" w:cs="Arial"/>
        </w:rPr>
        <w:t>I</w:t>
      </w:r>
      <w:r w:rsidRPr="001E33DB">
        <w:rPr>
          <w:rFonts w:ascii="Arial" w:hAnsi="Arial" w:cs="Arial"/>
        </w:rPr>
        <w:t xml:space="preserve">t is the local market data which needs to be assessed, not national, as </w:t>
      </w:r>
      <w:r w:rsidR="005F2995">
        <w:rPr>
          <w:rFonts w:ascii="Arial" w:hAnsi="Arial" w:cs="Arial"/>
        </w:rPr>
        <w:t>r</w:t>
      </w:r>
      <w:r w:rsidR="005F2995" w:rsidRPr="001E33DB">
        <w:rPr>
          <w:rFonts w:ascii="Arial" w:hAnsi="Arial" w:cs="Arial"/>
        </w:rPr>
        <w:t xml:space="preserve">esearch </w:t>
      </w:r>
      <w:r w:rsidR="001927FE">
        <w:rPr>
          <w:rFonts w:ascii="Arial" w:hAnsi="Arial" w:cs="Arial"/>
        </w:rPr>
        <w:t xml:space="preserve">in alcohol advertising </w:t>
      </w:r>
      <w:r w:rsidR="005F2995" w:rsidRPr="001E33DB">
        <w:rPr>
          <w:rFonts w:ascii="Arial" w:hAnsi="Arial" w:cs="Arial"/>
        </w:rPr>
        <w:t xml:space="preserve">has shown </w:t>
      </w:r>
      <w:r w:rsidRPr="001E33DB">
        <w:rPr>
          <w:rFonts w:ascii="Arial" w:hAnsi="Arial" w:cs="Arial"/>
        </w:rPr>
        <w:t>there is considerable variation</w:t>
      </w:r>
      <w:r w:rsidR="001927FE">
        <w:rPr>
          <w:rFonts w:ascii="Arial" w:hAnsi="Arial" w:cs="Arial"/>
        </w:rPr>
        <w:t xml:space="preserve"> in audience composition</w:t>
      </w:r>
      <w:r w:rsidRPr="001E33DB">
        <w:rPr>
          <w:rFonts w:ascii="Arial" w:hAnsi="Arial" w:cs="Arial"/>
        </w:rPr>
        <w:t xml:space="preserve"> across </w:t>
      </w:r>
      <w:proofErr w:type="gramStart"/>
      <w:r w:rsidRPr="001E33DB">
        <w:rPr>
          <w:rFonts w:ascii="Arial" w:hAnsi="Arial" w:cs="Arial"/>
        </w:rPr>
        <w:t>locales</w:t>
      </w:r>
      <w:r w:rsidR="005F2995">
        <w:rPr>
          <w:rFonts w:ascii="Arial" w:hAnsi="Arial" w:cs="Arial"/>
        </w:rPr>
        <w:t xml:space="preserve">, </w:t>
      </w:r>
      <w:r w:rsidR="000E1663">
        <w:rPr>
          <w:rFonts w:ascii="Arial" w:hAnsi="Arial" w:cs="Arial"/>
        </w:rPr>
        <w:t>and</w:t>
      </w:r>
      <w:proofErr w:type="gramEnd"/>
      <w:r w:rsidR="000E1663">
        <w:rPr>
          <w:rFonts w:ascii="Arial" w:hAnsi="Arial" w:cs="Arial"/>
        </w:rPr>
        <w:t xml:space="preserve"> relying on national data has resulted </w:t>
      </w:r>
      <w:r w:rsidR="005F2995">
        <w:rPr>
          <w:rFonts w:ascii="Arial" w:hAnsi="Arial" w:cs="Arial"/>
        </w:rPr>
        <w:t xml:space="preserve">in overexposure of youth to </w:t>
      </w:r>
      <w:r w:rsidR="001927FE">
        <w:rPr>
          <w:rFonts w:ascii="Arial" w:hAnsi="Arial" w:cs="Arial"/>
        </w:rPr>
        <w:t>harmful</w:t>
      </w:r>
      <w:r w:rsidR="005F2995">
        <w:rPr>
          <w:rFonts w:ascii="Arial" w:hAnsi="Arial" w:cs="Arial"/>
        </w:rPr>
        <w:t xml:space="preserve"> advertising</w:t>
      </w:r>
      <w:r w:rsidRPr="001E33DB">
        <w:rPr>
          <w:rFonts w:ascii="Arial" w:hAnsi="Arial" w:cs="Arial"/>
        </w:rPr>
        <w:t>.</w:t>
      </w:r>
      <w:r>
        <w:rPr>
          <w:rStyle w:val="FootnoteReference"/>
          <w:rFonts w:ascii="Arial" w:hAnsi="Arial" w:cs="Arial"/>
        </w:rPr>
        <w:footnoteReference w:id="30"/>
      </w:r>
    </w:p>
    <w:p w14:paraId="7BE9F79E" w14:textId="3F314F2E" w:rsidR="00164E24" w:rsidRDefault="00164E24" w:rsidP="001927FE">
      <w:pPr>
        <w:spacing w:after="120"/>
        <w:ind w:right="-720"/>
        <w:jc w:val="both"/>
        <w:outlineLvl w:val="0"/>
        <w:rPr>
          <w:rFonts w:ascii="Arial" w:hAnsi="Arial" w:cs="Arial"/>
        </w:rPr>
      </w:pPr>
    </w:p>
    <w:p w14:paraId="0B30BEE4" w14:textId="77740ABA" w:rsidR="000E1663" w:rsidRPr="009564EE" w:rsidRDefault="000E1663" w:rsidP="000E1663">
      <w:pPr>
        <w:pStyle w:val="ListParagraph"/>
        <w:numPr>
          <w:ilvl w:val="0"/>
          <w:numId w:val="7"/>
        </w:numPr>
        <w:spacing w:after="120"/>
        <w:ind w:right="-720"/>
        <w:jc w:val="both"/>
        <w:outlineLvl w:val="0"/>
        <w:rPr>
          <w:rFonts w:ascii="Arial" w:hAnsi="Arial" w:cs="Arial"/>
        </w:rPr>
      </w:pPr>
      <w:r w:rsidRPr="009564EE">
        <w:rPr>
          <w:rFonts w:ascii="Arial" w:hAnsi="Arial" w:cs="Arial"/>
          <w:i/>
        </w:rPr>
        <w:lastRenderedPageBreak/>
        <w:t xml:space="preserve">§ </w:t>
      </w:r>
      <w:r w:rsidR="00164E24" w:rsidRPr="009564EE">
        <w:rPr>
          <w:rFonts w:ascii="Arial" w:hAnsi="Arial" w:cs="Arial"/>
          <w:i/>
        </w:rPr>
        <w:t>5041</w:t>
      </w:r>
      <w:r w:rsidRPr="009564EE">
        <w:rPr>
          <w:rFonts w:ascii="Arial" w:hAnsi="Arial" w:cs="Arial"/>
          <w:i/>
        </w:rPr>
        <w:t>. Age Confirmation in Advertising</w:t>
      </w:r>
    </w:p>
    <w:p w14:paraId="61B76DCE" w14:textId="319566D3" w:rsidR="00164E24" w:rsidRPr="009564EE" w:rsidRDefault="00164E24" w:rsidP="000E1663">
      <w:pPr>
        <w:spacing w:after="120"/>
        <w:ind w:right="-720"/>
        <w:jc w:val="both"/>
        <w:outlineLvl w:val="0"/>
        <w:rPr>
          <w:rFonts w:ascii="Arial" w:hAnsi="Arial" w:cs="Arial"/>
        </w:rPr>
      </w:pPr>
      <w:r w:rsidRPr="009564EE">
        <w:rPr>
          <w:rFonts w:ascii="Arial" w:hAnsi="Arial" w:cs="Arial"/>
        </w:rPr>
        <w:t xml:space="preserve">To </w:t>
      </w:r>
      <w:r w:rsidR="005518FA" w:rsidRPr="009564EE">
        <w:rPr>
          <w:rFonts w:ascii="Arial" w:hAnsi="Arial" w:cs="Arial"/>
        </w:rPr>
        <w:t xml:space="preserve">ensure </w:t>
      </w:r>
      <w:r w:rsidRPr="009564EE">
        <w:rPr>
          <w:rFonts w:ascii="Arial" w:hAnsi="Arial" w:cs="Arial"/>
        </w:rPr>
        <w:t>avoid</w:t>
      </w:r>
      <w:r w:rsidR="005518FA" w:rsidRPr="009564EE">
        <w:rPr>
          <w:rFonts w:ascii="Arial" w:hAnsi="Arial" w:cs="Arial"/>
        </w:rPr>
        <w:t>ing</w:t>
      </w:r>
      <w:r w:rsidRPr="009564EE">
        <w:rPr>
          <w:rFonts w:ascii="Arial" w:hAnsi="Arial" w:cs="Arial"/>
        </w:rPr>
        <w:t xml:space="preserve"> exposure of minors, no initial direct communication</w:t>
      </w:r>
      <w:r w:rsidR="000E1663" w:rsidRPr="009564EE">
        <w:rPr>
          <w:rFonts w:ascii="Arial" w:hAnsi="Arial" w:cs="Arial"/>
        </w:rPr>
        <w:t xml:space="preserve"> through any form</w:t>
      </w:r>
      <w:r w:rsidRPr="009564EE">
        <w:rPr>
          <w:rFonts w:ascii="Arial" w:hAnsi="Arial" w:cs="Arial"/>
        </w:rPr>
        <w:t xml:space="preserve">, </w:t>
      </w:r>
      <w:r w:rsidR="000E1663" w:rsidRPr="009564EE">
        <w:rPr>
          <w:rFonts w:ascii="Arial" w:hAnsi="Arial" w:cs="Arial"/>
        </w:rPr>
        <w:t>including in-person, telephone, physical mail, or electronic</w:t>
      </w:r>
      <w:r w:rsidRPr="009564EE">
        <w:rPr>
          <w:rFonts w:ascii="Arial" w:hAnsi="Arial" w:cs="Arial"/>
        </w:rPr>
        <w:t xml:space="preserve"> </w:t>
      </w:r>
      <w:r w:rsidR="005518FA" w:rsidRPr="009564EE">
        <w:rPr>
          <w:rFonts w:ascii="Arial" w:hAnsi="Arial" w:cs="Arial"/>
        </w:rPr>
        <w:t>should</w:t>
      </w:r>
      <w:r w:rsidRPr="009564EE">
        <w:rPr>
          <w:rFonts w:ascii="Arial" w:hAnsi="Arial" w:cs="Arial"/>
        </w:rPr>
        <w:t xml:space="preserve"> be unsolicited</w:t>
      </w:r>
      <w:r w:rsidR="005518FA" w:rsidRPr="009564EE">
        <w:rPr>
          <w:rFonts w:ascii="Arial" w:hAnsi="Arial" w:cs="Arial"/>
        </w:rPr>
        <w:t>, after which, age affirmation to verify the recipient is 21 years of age or older should occur</w:t>
      </w:r>
      <w:r w:rsidR="000E1663" w:rsidRPr="009564EE">
        <w:rPr>
          <w:rFonts w:ascii="Arial" w:hAnsi="Arial" w:cs="Arial"/>
        </w:rPr>
        <w:t>.</w:t>
      </w:r>
      <w:r w:rsidRPr="009564EE">
        <w:rPr>
          <w:rFonts w:ascii="Arial" w:hAnsi="Arial" w:cs="Arial"/>
        </w:rPr>
        <w:t xml:space="preserve"> </w:t>
      </w:r>
    </w:p>
    <w:p w14:paraId="28776E60" w14:textId="249F2177" w:rsidR="00BD567B" w:rsidRPr="0054635B" w:rsidRDefault="00BD567B" w:rsidP="001927FE">
      <w:pPr>
        <w:spacing w:after="120"/>
        <w:ind w:right="-720"/>
        <w:jc w:val="both"/>
        <w:rPr>
          <w:rFonts w:ascii="Arial" w:hAnsi="Arial" w:cs="Arial"/>
        </w:rPr>
      </w:pPr>
    </w:p>
    <w:p w14:paraId="662FB338" w14:textId="77777777" w:rsidR="007C3410" w:rsidRPr="00465A6E" w:rsidRDefault="007C3410" w:rsidP="001927FE">
      <w:pPr>
        <w:pStyle w:val="ListParagraph"/>
        <w:numPr>
          <w:ilvl w:val="0"/>
          <w:numId w:val="7"/>
        </w:numPr>
        <w:spacing w:after="120"/>
        <w:jc w:val="both"/>
        <w:rPr>
          <w:rFonts w:ascii="Arial" w:hAnsi="Arial" w:cs="Arial"/>
          <w:i/>
        </w:rPr>
      </w:pPr>
      <w:r w:rsidRPr="00465A6E">
        <w:rPr>
          <w:rFonts w:ascii="Arial" w:hAnsi="Arial" w:cs="Arial"/>
          <w:i/>
        </w:rPr>
        <w:t>§ 5403. Hours of Operation. A licensed retailer shall sell and deliver cannabis goods only between the hours of 6:00 a.m. Pacific Time and 10:00 p.m. Pacific Time.</w:t>
      </w:r>
    </w:p>
    <w:p w14:paraId="4EFB55F7" w14:textId="3AA775A9" w:rsidR="007C3410" w:rsidRPr="00885938" w:rsidRDefault="007C3410" w:rsidP="007E7087">
      <w:pPr>
        <w:spacing w:after="120"/>
        <w:ind w:right="-720"/>
        <w:jc w:val="both"/>
        <w:rPr>
          <w:sz w:val="22"/>
          <w:szCs w:val="22"/>
        </w:rPr>
      </w:pPr>
      <w:r w:rsidRPr="00D10959">
        <w:rPr>
          <w:rFonts w:ascii="Arial" w:hAnsi="Arial" w:cs="Arial"/>
        </w:rPr>
        <w:t>Reducing hours of operation for alcohol outlets has been found to be effective for reducing negative effects of alcohol consumption. Parts of Colorado used 7pm. Oregon uses 8 am to 10 pm. A dispensary owner we interviewed felt that hours should not cater excessively and recommended 8 pm.</w:t>
      </w:r>
      <w:r w:rsidR="00CD1395">
        <w:rPr>
          <w:rFonts w:ascii="Arial" w:hAnsi="Arial" w:cs="Arial"/>
        </w:rPr>
        <w:t xml:space="preserve"> </w:t>
      </w:r>
      <w:r w:rsidR="00CD1395" w:rsidRPr="00CD1395">
        <w:rPr>
          <w:rFonts w:ascii="Arial" w:hAnsi="Arial" w:cs="Arial"/>
        </w:rPr>
        <w:t>In California</w:t>
      </w:r>
      <w:r w:rsidR="00885938">
        <w:rPr>
          <w:rFonts w:ascii="Arial" w:hAnsi="Arial" w:cs="Arial"/>
        </w:rPr>
        <w:t>,</w:t>
      </w:r>
      <w:r w:rsidR="00CD1395" w:rsidRPr="00CD1395">
        <w:rPr>
          <w:rFonts w:ascii="Arial" w:hAnsi="Arial" w:cs="Arial"/>
        </w:rPr>
        <w:t xml:space="preserve"> </w:t>
      </w:r>
      <w:r w:rsidR="00CD1395" w:rsidRPr="00885938">
        <w:rPr>
          <w:rFonts w:ascii="Arial" w:hAnsi="Arial" w:cs="Arial"/>
        </w:rPr>
        <w:t>Berkeley</w:t>
      </w:r>
      <w:r w:rsidR="00CD1395" w:rsidRPr="00CD1395">
        <w:rPr>
          <w:rFonts w:ascii="Arial" w:hAnsi="Arial" w:cs="Arial"/>
        </w:rPr>
        <w:t xml:space="preserve">, Blythe, </w:t>
      </w:r>
      <w:r w:rsidR="00CD1395">
        <w:rPr>
          <w:rFonts w:ascii="Arial" w:hAnsi="Arial" w:cs="Arial"/>
        </w:rPr>
        <w:t>M</w:t>
      </w:r>
      <w:r w:rsidR="00CD1395" w:rsidRPr="00885938">
        <w:rPr>
          <w:rFonts w:ascii="Arial" w:hAnsi="Arial" w:cs="Arial"/>
        </w:rPr>
        <w:t>ammoth</w:t>
      </w:r>
      <w:r w:rsidR="00CD1395" w:rsidRPr="00CD1395">
        <w:rPr>
          <w:rFonts w:ascii="Arial" w:hAnsi="Arial" w:cs="Arial"/>
        </w:rPr>
        <w:t xml:space="preserve"> </w:t>
      </w:r>
      <w:r w:rsidR="00CD1395">
        <w:rPr>
          <w:rFonts w:ascii="Arial" w:hAnsi="Arial" w:cs="Arial"/>
        </w:rPr>
        <w:t>L</w:t>
      </w:r>
      <w:r w:rsidR="00CD1395" w:rsidRPr="00885938">
        <w:rPr>
          <w:rFonts w:ascii="Arial" w:hAnsi="Arial" w:cs="Arial"/>
        </w:rPr>
        <w:t>akes, Mono County, Pasadena, Sacramento, and San Diego</w:t>
      </w:r>
      <w:r w:rsidR="00CD1395">
        <w:rPr>
          <w:rFonts w:ascii="Arial" w:hAnsi="Arial" w:cs="Arial"/>
        </w:rPr>
        <w:t xml:space="preserve">, for example, </w:t>
      </w:r>
      <w:r w:rsidR="00CD1395" w:rsidRPr="00885938">
        <w:rPr>
          <w:rFonts w:ascii="Arial" w:hAnsi="Arial" w:cs="Arial"/>
        </w:rPr>
        <w:t>have all adopted more limited hours</w:t>
      </w:r>
      <w:r w:rsidR="00CD1395">
        <w:rPr>
          <w:b/>
          <w:sz w:val="22"/>
          <w:szCs w:val="22"/>
        </w:rPr>
        <w:t>.</w:t>
      </w:r>
      <w:r w:rsidR="00AD7828">
        <w:rPr>
          <w:b/>
          <w:sz w:val="22"/>
          <w:szCs w:val="22"/>
        </w:rPr>
        <w:t xml:space="preserve"> </w:t>
      </w:r>
      <w:r w:rsidRPr="00D10959">
        <w:rPr>
          <w:rFonts w:ascii="Arial" w:hAnsi="Arial" w:cs="Arial"/>
        </w:rPr>
        <w:t>In general</w:t>
      </w:r>
      <w:r>
        <w:rPr>
          <w:rFonts w:ascii="Arial" w:hAnsi="Arial" w:cs="Arial"/>
        </w:rPr>
        <w:t>,</w:t>
      </w:r>
      <w:r w:rsidRPr="00D10959">
        <w:rPr>
          <w:rFonts w:ascii="Arial" w:hAnsi="Arial" w:cs="Arial"/>
        </w:rPr>
        <w:t xml:space="preserve"> late night purchases are more likely to be combined with</w:t>
      </w:r>
      <w:r w:rsidR="00CD1395">
        <w:rPr>
          <w:rFonts w:ascii="Arial" w:hAnsi="Arial" w:cs="Arial"/>
        </w:rPr>
        <w:t xml:space="preserve"> </w:t>
      </w:r>
      <w:r w:rsidRPr="00D10959">
        <w:rPr>
          <w:rFonts w:ascii="Arial" w:hAnsi="Arial" w:cs="Arial"/>
        </w:rPr>
        <w:t>consumption and associated</w:t>
      </w:r>
      <w:r>
        <w:rPr>
          <w:rFonts w:ascii="Arial" w:hAnsi="Arial" w:cs="Arial"/>
        </w:rPr>
        <w:t xml:space="preserve"> with accidents. Late night hours</w:t>
      </w:r>
      <w:r w:rsidRPr="00D10959">
        <w:rPr>
          <w:rFonts w:ascii="Arial" w:hAnsi="Arial" w:cs="Arial"/>
        </w:rPr>
        <w:t xml:space="preserve"> may also increase risk of robberies. </w:t>
      </w:r>
      <w:r w:rsidRPr="009564EE">
        <w:rPr>
          <w:rFonts w:ascii="Arial" w:hAnsi="Arial" w:cs="Arial"/>
          <w:b/>
        </w:rPr>
        <w:t>We recommend maximum hours of 8 am to 8 pm and closed on Sunday</w:t>
      </w:r>
      <w:r w:rsidRPr="00D10959">
        <w:rPr>
          <w:rFonts w:ascii="Arial" w:hAnsi="Arial" w:cs="Arial"/>
        </w:rPr>
        <w:t>.</w:t>
      </w:r>
      <w:r w:rsidR="00AD7828">
        <w:rPr>
          <w:rFonts w:ascii="Arial" w:hAnsi="Arial" w:cs="Arial"/>
        </w:rPr>
        <w:t xml:space="preserve"> </w:t>
      </w:r>
    </w:p>
    <w:p w14:paraId="4BA57AF0" w14:textId="77777777" w:rsidR="007C3410" w:rsidRDefault="007C3410" w:rsidP="001927FE">
      <w:pPr>
        <w:spacing w:after="120"/>
        <w:jc w:val="both"/>
        <w:rPr>
          <w:rFonts w:ascii="Arial" w:hAnsi="Arial" w:cs="Arial"/>
        </w:rPr>
      </w:pPr>
    </w:p>
    <w:p w14:paraId="655727DD" w14:textId="7F2CD251" w:rsidR="006A7C9C" w:rsidRPr="00FB492E" w:rsidRDefault="006A7C9C" w:rsidP="000269A1">
      <w:pPr>
        <w:pStyle w:val="ListParagraph"/>
        <w:numPr>
          <w:ilvl w:val="0"/>
          <w:numId w:val="7"/>
        </w:numPr>
        <w:spacing w:after="120"/>
        <w:jc w:val="both"/>
        <w:rPr>
          <w:rFonts w:ascii="Arial" w:hAnsi="Arial" w:cs="Arial"/>
          <w:i/>
        </w:rPr>
      </w:pPr>
      <w:r w:rsidRPr="00FB492E">
        <w:rPr>
          <w:rFonts w:ascii="Arial" w:hAnsi="Arial" w:cs="Arial"/>
          <w:i/>
        </w:rPr>
        <w:t>§ 5404. Retail Customers</w:t>
      </w:r>
      <w:r w:rsidR="00704EFD" w:rsidRPr="00FB492E">
        <w:rPr>
          <w:rFonts w:ascii="Arial" w:hAnsi="Arial" w:cs="Arial"/>
          <w:i/>
        </w:rPr>
        <w:t xml:space="preserve"> </w:t>
      </w:r>
      <w:r w:rsidRPr="00FB492E">
        <w:rPr>
          <w:rFonts w:ascii="Arial" w:hAnsi="Arial" w:cs="Arial"/>
          <w:i/>
        </w:rPr>
        <w:t xml:space="preserve">(a) A licensed retailer shall only sell adult-use cannabis goods to individuals who are at least 21 years of age after confirming the customer’s age and identity by inspecting a valid form of identification provided by the customer as required by subsection (c) of this section. </w:t>
      </w:r>
    </w:p>
    <w:p w14:paraId="5211695F" w14:textId="4C5FA3F3" w:rsidR="002A559B" w:rsidRPr="005F2995" w:rsidRDefault="005F2995" w:rsidP="001927FE">
      <w:pPr>
        <w:spacing w:after="120"/>
        <w:ind w:right="-720"/>
        <w:jc w:val="both"/>
        <w:outlineLvl w:val="0"/>
        <w:rPr>
          <w:rFonts w:ascii="Arial" w:hAnsi="Arial" w:cs="Arial"/>
        </w:rPr>
      </w:pPr>
      <w:r w:rsidRPr="005F2995">
        <w:rPr>
          <w:rFonts w:ascii="Arial" w:hAnsi="Arial" w:cs="Arial"/>
        </w:rPr>
        <w:t xml:space="preserve">Retailers should be required to use </w:t>
      </w:r>
      <w:r w:rsidRPr="009564EE">
        <w:rPr>
          <w:rFonts w:ascii="Arial" w:hAnsi="Arial" w:cs="Arial"/>
          <w:b/>
        </w:rPr>
        <w:t>ID scanning technology</w:t>
      </w:r>
      <w:r w:rsidRPr="005F2995">
        <w:rPr>
          <w:rFonts w:ascii="Arial" w:hAnsi="Arial" w:cs="Arial"/>
        </w:rPr>
        <w:t xml:space="preserve"> to immediately identify fake IDs and verify age, in addition to a traditional visual inspection to verify the ID match to the potential customer and ID expiration. </w:t>
      </w:r>
      <w:r w:rsidR="005518FA">
        <w:rPr>
          <w:rFonts w:ascii="Arial" w:hAnsi="Arial" w:cs="Arial"/>
        </w:rPr>
        <w:t>This kind of technology is increasingly less costly and less burdensome, for example, New York state is currently piloting the use of a smartphone app for identifying invalid IDs in bars. The app, called “Law ID”, has tested at 99.9% accuracy has a commercial version currently available.</w:t>
      </w:r>
      <w:r w:rsidR="005518FA">
        <w:rPr>
          <w:rStyle w:val="FootnoteReference"/>
          <w:rFonts w:ascii="Arial" w:hAnsi="Arial" w:cs="Arial"/>
        </w:rPr>
        <w:footnoteReference w:id="31"/>
      </w:r>
    </w:p>
    <w:p w14:paraId="41C3978B" w14:textId="77777777" w:rsidR="00674B61" w:rsidRPr="00674B61" w:rsidRDefault="00674B61" w:rsidP="00674B61">
      <w:pPr>
        <w:spacing w:after="120"/>
        <w:ind w:right="-720"/>
        <w:outlineLvl w:val="0"/>
        <w:rPr>
          <w:rFonts w:ascii="Arial" w:hAnsi="Arial" w:cs="Arial"/>
          <w:color w:val="FF0000"/>
        </w:rPr>
      </w:pPr>
    </w:p>
    <w:p w14:paraId="51F83E26" w14:textId="20D4F61F" w:rsidR="0054635B" w:rsidRPr="007861C0" w:rsidRDefault="0054635B" w:rsidP="001927FE">
      <w:pPr>
        <w:pStyle w:val="ListParagraph"/>
        <w:numPr>
          <w:ilvl w:val="0"/>
          <w:numId w:val="7"/>
        </w:numPr>
        <w:tabs>
          <w:tab w:val="left" w:pos="360"/>
        </w:tabs>
        <w:spacing w:after="120"/>
        <w:jc w:val="both"/>
        <w:rPr>
          <w:rFonts w:ascii="Arial" w:hAnsi="Arial" w:cs="Arial"/>
          <w:i/>
        </w:rPr>
      </w:pPr>
      <w:r w:rsidRPr="007861C0">
        <w:rPr>
          <w:rFonts w:ascii="Arial" w:hAnsi="Arial" w:cs="Arial"/>
          <w:i/>
        </w:rPr>
        <w:t>§ 5407. Sale of Non-Cannabis Goods on Premises</w:t>
      </w:r>
      <w:r w:rsidR="007861C0" w:rsidRPr="007861C0">
        <w:rPr>
          <w:rFonts w:ascii="Arial" w:hAnsi="Arial" w:cs="Arial"/>
          <w:i/>
        </w:rPr>
        <w:t xml:space="preserve">. </w:t>
      </w:r>
      <w:r w:rsidRPr="007861C0">
        <w:rPr>
          <w:rFonts w:ascii="Arial" w:hAnsi="Arial" w:cs="Arial"/>
          <w:i/>
        </w:rPr>
        <w:t>In addition to cannabis goods, a licensed retailer may sell only cannabis accessories and any licensee’s branded mercha</w:t>
      </w:r>
      <w:r w:rsidR="005C5C9C">
        <w:rPr>
          <w:rFonts w:ascii="Arial" w:hAnsi="Arial" w:cs="Arial"/>
          <w:i/>
        </w:rPr>
        <w:t>ndise or promotional materials.</w:t>
      </w:r>
    </w:p>
    <w:p w14:paraId="649D1F4F" w14:textId="189AF8F4" w:rsidR="00A877D9" w:rsidRDefault="00A877D9" w:rsidP="00885938">
      <w:pPr>
        <w:pStyle w:val="LevelA"/>
        <w:widowControl/>
        <w:numPr>
          <w:ilvl w:val="0"/>
          <w:numId w:val="21"/>
        </w:numPr>
        <w:suppressAutoHyphens/>
        <w:spacing w:after="120"/>
        <w:ind w:left="270" w:right="-720"/>
        <w:jc w:val="both"/>
        <w:rPr>
          <w:rFonts w:ascii="Arial" w:hAnsi="Arial" w:cs="Arial"/>
          <w:color w:val="000000" w:themeColor="text1"/>
          <w:szCs w:val="24"/>
        </w:rPr>
      </w:pPr>
      <w:r>
        <w:rPr>
          <w:rFonts w:ascii="Arial" w:hAnsi="Arial" w:cs="Arial"/>
          <w:color w:val="000000" w:themeColor="text1"/>
          <w:szCs w:val="24"/>
        </w:rPr>
        <w:t xml:space="preserve">We recommend that </w:t>
      </w:r>
      <w:r w:rsidR="00A30DC2">
        <w:rPr>
          <w:rFonts w:ascii="Arial" w:hAnsi="Arial" w:cs="Arial"/>
          <w:color w:val="000000" w:themeColor="text1"/>
          <w:szCs w:val="24"/>
        </w:rPr>
        <w:t>non</w:t>
      </w:r>
      <w:r w:rsidR="005518FA">
        <w:rPr>
          <w:rFonts w:ascii="Arial" w:hAnsi="Arial" w:cs="Arial"/>
          <w:color w:val="000000" w:themeColor="text1"/>
          <w:szCs w:val="24"/>
        </w:rPr>
        <w:t>-</w:t>
      </w:r>
      <w:r w:rsidR="00A30DC2">
        <w:rPr>
          <w:rFonts w:ascii="Arial" w:hAnsi="Arial" w:cs="Arial"/>
          <w:color w:val="000000" w:themeColor="text1"/>
          <w:szCs w:val="24"/>
        </w:rPr>
        <w:t xml:space="preserve">cannabis </w:t>
      </w:r>
      <w:r w:rsidRPr="009564EE">
        <w:rPr>
          <w:rFonts w:ascii="Arial" w:hAnsi="Arial" w:cs="Arial"/>
          <w:b/>
          <w:color w:val="000000" w:themeColor="text1"/>
          <w:szCs w:val="24"/>
        </w:rPr>
        <w:t>branded merchandise not be allowed for sale</w:t>
      </w:r>
      <w:r w:rsidR="00A30DC2">
        <w:rPr>
          <w:rFonts w:ascii="Arial" w:hAnsi="Arial" w:cs="Arial"/>
          <w:color w:val="000000" w:themeColor="text1"/>
          <w:szCs w:val="24"/>
        </w:rPr>
        <w:t xml:space="preserve"> in a cannabis licensee</w:t>
      </w:r>
      <w:r>
        <w:rPr>
          <w:rFonts w:ascii="Arial" w:hAnsi="Arial" w:cs="Arial"/>
          <w:color w:val="000000" w:themeColor="text1"/>
          <w:szCs w:val="24"/>
        </w:rPr>
        <w:t>, nor can its provision be conditioned on sale of any cannabis item. Cannabis brands should be clearly limited to cannabis products and not contribute to social normalization by branding clothing, foods or other products for sale</w:t>
      </w:r>
      <w:r w:rsidR="00A30DC2">
        <w:rPr>
          <w:rFonts w:ascii="Arial" w:hAnsi="Arial" w:cs="Arial"/>
          <w:color w:val="000000" w:themeColor="text1"/>
          <w:szCs w:val="24"/>
        </w:rPr>
        <w:t xml:space="preserve"> on the premises of a licensee</w:t>
      </w:r>
      <w:r>
        <w:rPr>
          <w:rFonts w:ascii="Arial" w:hAnsi="Arial" w:cs="Arial"/>
          <w:color w:val="000000" w:themeColor="text1"/>
          <w:szCs w:val="24"/>
        </w:rPr>
        <w:t xml:space="preserve">. </w:t>
      </w:r>
    </w:p>
    <w:p w14:paraId="037F8549" w14:textId="0C4D7200" w:rsidR="00A877D9" w:rsidRDefault="005C5C9C" w:rsidP="00885938">
      <w:pPr>
        <w:pStyle w:val="LevelA"/>
        <w:widowControl/>
        <w:numPr>
          <w:ilvl w:val="0"/>
          <w:numId w:val="21"/>
        </w:numPr>
        <w:suppressAutoHyphens/>
        <w:spacing w:after="120"/>
        <w:ind w:left="270" w:right="-720"/>
        <w:jc w:val="both"/>
        <w:rPr>
          <w:rFonts w:ascii="Arial" w:hAnsi="Arial" w:cs="Arial"/>
          <w:color w:val="000000" w:themeColor="text1"/>
          <w:szCs w:val="24"/>
        </w:rPr>
      </w:pPr>
      <w:r>
        <w:rPr>
          <w:rFonts w:ascii="Arial" w:hAnsi="Arial" w:cs="Arial"/>
          <w:color w:val="000000" w:themeColor="text1"/>
          <w:szCs w:val="24"/>
        </w:rPr>
        <w:t>We recommend that no cannabis business or cannabis or c</w:t>
      </w:r>
      <w:r w:rsidR="007861C0" w:rsidRPr="00D10959">
        <w:rPr>
          <w:rFonts w:ascii="Arial" w:hAnsi="Arial" w:cs="Arial"/>
          <w:color w:val="000000" w:themeColor="text1"/>
          <w:szCs w:val="24"/>
        </w:rPr>
        <w:t xml:space="preserve">annabis product brand identification, including logos, trademarks or names, be used or licensed for use on clothing, </w:t>
      </w:r>
      <w:r w:rsidR="007861C0" w:rsidRPr="00D10959">
        <w:rPr>
          <w:rFonts w:ascii="Arial" w:hAnsi="Arial" w:cs="Arial"/>
          <w:color w:val="000000" w:themeColor="text1"/>
          <w:szCs w:val="24"/>
        </w:rPr>
        <w:lastRenderedPageBreak/>
        <w:t xml:space="preserve">toys, games, or game equipment, or other items typically marketed to or used by persons under the age of 21 or attractive to children or youth. </w:t>
      </w:r>
    </w:p>
    <w:p w14:paraId="460CFD5B" w14:textId="119368F2" w:rsidR="0054635B" w:rsidRDefault="007861C0" w:rsidP="00885938">
      <w:pPr>
        <w:pStyle w:val="LevelA"/>
        <w:widowControl/>
        <w:numPr>
          <w:ilvl w:val="0"/>
          <w:numId w:val="21"/>
        </w:numPr>
        <w:suppressAutoHyphens/>
        <w:spacing w:after="120"/>
        <w:ind w:left="270" w:right="-720"/>
        <w:jc w:val="both"/>
        <w:rPr>
          <w:rFonts w:ascii="Arial" w:hAnsi="Arial" w:cs="Arial"/>
          <w:color w:val="000000" w:themeColor="text1"/>
          <w:szCs w:val="24"/>
        </w:rPr>
      </w:pPr>
      <w:r w:rsidRPr="00D10959">
        <w:rPr>
          <w:rFonts w:ascii="Arial" w:hAnsi="Arial" w:cs="Arial"/>
          <w:color w:val="000000" w:themeColor="text1"/>
          <w:szCs w:val="24"/>
        </w:rPr>
        <w:t>Any branded merchandise (hats, T-shirts, p</w:t>
      </w:r>
      <w:r w:rsidR="005C5C9C">
        <w:rPr>
          <w:rFonts w:ascii="Arial" w:hAnsi="Arial" w:cs="Arial"/>
          <w:color w:val="000000" w:themeColor="text1"/>
          <w:szCs w:val="24"/>
        </w:rPr>
        <w:t>ens, etc.) using the name of a cannabis business or brand, cannabis, or a cannabis p</w:t>
      </w:r>
      <w:r w:rsidRPr="00D10959">
        <w:rPr>
          <w:rFonts w:ascii="Arial" w:hAnsi="Arial" w:cs="Arial"/>
          <w:color w:val="000000" w:themeColor="text1"/>
          <w:szCs w:val="24"/>
        </w:rPr>
        <w:t>roduct should be required to carry a mandatory warning box described above in at least the size of the business, brand or product name whichever is largest.</w:t>
      </w:r>
      <w:r w:rsidR="00A877D9">
        <w:rPr>
          <w:rFonts w:ascii="Arial" w:hAnsi="Arial" w:cs="Arial"/>
          <w:color w:val="000000" w:themeColor="text1"/>
          <w:szCs w:val="24"/>
        </w:rPr>
        <w:t xml:space="preserve"> </w:t>
      </w:r>
    </w:p>
    <w:p w14:paraId="5F2DB593" w14:textId="77777777" w:rsidR="00A44B04" w:rsidRDefault="00A44B04" w:rsidP="007E7087">
      <w:pPr>
        <w:pStyle w:val="LevelA"/>
        <w:widowControl/>
        <w:suppressAutoHyphens/>
        <w:spacing w:after="120"/>
        <w:ind w:left="0" w:firstLine="0"/>
        <w:jc w:val="both"/>
        <w:rPr>
          <w:rFonts w:ascii="Arial" w:hAnsi="Arial" w:cs="Arial"/>
          <w:color w:val="000000" w:themeColor="text1"/>
          <w:szCs w:val="24"/>
        </w:rPr>
      </w:pPr>
    </w:p>
    <w:p w14:paraId="32381699" w14:textId="31B2A29F" w:rsidR="000F55AE" w:rsidRPr="00910D35" w:rsidRDefault="000F55AE" w:rsidP="00910D35">
      <w:pPr>
        <w:pStyle w:val="LevelA"/>
        <w:widowControl/>
        <w:numPr>
          <w:ilvl w:val="0"/>
          <w:numId w:val="7"/>
        </w:numPr>
        <w:suppressAutoHyphens/>
        <w:spacing w:after="120"/>
        <w:jc w:val="both"/>
        <w:rPr>
          <w:rFonts w:ascii="Arial" w:hAnsi="Arial" w:cs="Arial"/>
          <w:i/>
          <w:szCs w:val="24"/>
        </w:rPr>
      </w:pPr>
      <w:r w:rsidRPr="005F2995">
        <w:rPr>
          <w:rFonts w:ascii="Arial" w:hAnsi="Arial" w:cs="Arial"/>
          <w:i/>
        </w:rPr>
        <w:t xml:space="preserve">§ </w:t>
      </w:r>
      <w:r w:rsidR="00164E24" w:rsidRPr="00910D35">
        <w:rPr>
          <w:rFonts w:ascii="Arial" w:hAnsi="Arial" w:cs="Arial"/>
          <w:i/>
          <w:szCs w:val="24"/>
        </w:rPr>
        <w:t>540</w:t>
      </w:r>
      <w:r w:rsidRPr="00910D35">
        <w:rPr>
          <w:rFonts w:ascii="Arial" w:hAnsi="Arial" w:cs="Arial"/>
          <w:i/>
          <w:szCs w:val="24"/>
        </w:rPr>
        <w:t xml:space="preserve">8. </w:t>
      </w:r>
      <w:r w:rsidRPr="00910D35">
        <w:rPr>
          <w:rFonts w:ascii="Arial" w:hAnsi="Arial" w:cs="Arial"/>
          <w:bCs/>
          <w:i/>
          <w:szCs w:val="24"/>
        </w:rPr>
        <w:t>Sale of Live Plants and Seeds</w:t>
      </w:r>
      <w:r w:rsidR="003B3F2E">
        <w:rPr>
          <w:rFonts w:ascii="Arial" w:hAnsi="Arial" w:cs="Arial"/>
          <w:bCs/>
          <w:i/>
          <w:szCs w:val="24"/>
        </w:rPr>
        <w:t xml:space="preserve"> [Considerations on Potency of Products]</w:t>
      </w:r>
    </w:p>
    <w:p w14:paraId="66594324" w14:textId="29A24ADE" w:rsidR="00375D82" w:rsidRPr="00885938" w:rsidRDefault="00375D82" w:rsidP="00AC67E9">
      <w:pPr>
        <w:spacing w:after="120"/>
        <w:ind w:right="-720"/>
        <w:jc w:val="both"/>
        <w:rPr>
          <w:rFonts w:ascii="Arial" w:hAnsi="Arial" w:cs="Arial"/>
        </w:rPr>
      </w:pPr>
      <w:r w:rsidRPr="00885938">
        <w:rPr>
          <w:rFonts w:ascii="Arial" w:hAnsi="Arial" w:cs="Arial"/>
          <w:color w:val="000000" w:themeColor="text1"/>
        </w:rPr>
        <w:t xml:space="preserve">In 2007, Judge Gladys Kessler, in a landmark decision in </w:t>
      </w:r>
      <w:r w:rsidRPr="00885938">
        <w:rPr>
          <w:rFonts w:ascii="Arial" w:hAnsi="Arial" w:cs="Arial"/>
          <w:i/>
          <w:color w:val="000000" w:themeColor="text1"/>
        </w:rPr>
        <w:t>US v Philip Morris</w:t>
      </w:r>
      <w:r w:rsidRPr="00885938">
        <w:rPr>
          <w:rFonts w:ascii="Arial" w:hAnsi="Arial" w:cs="Arial"/>
          <w:color w:val="000000" w:themeColor="text1"/>
        </w:rPr>
        <w:t xml:space="preserve">, </w:t>
      </w:r>
      <w:r w:rsidRPr="00885938">
        <w:rPr>
          <w:rFonts w:ascii="Arial" w:hAnsi="Arial" w:cs="Arial"/>
          <w:color w:val="000000"/>
          <w:shd w:val="clear" w:color="auto" w:fill="FFFFFF"/>
        </w:rPr>
        <w:t>held the tobacco companies liable for violating RICO by fraudulently covering up the health risks associated with smoking and for marketing their products to children.</w:t>
      </w:r>
      <w:r w:rsidR="00AD7828">
        <w:rPr>
          <w:rFonts w:ascii="Arial" w:hAnsi="Arial" w:cs="Arial"/>
          <w:color w:val="000000"/>
          <w:shd w:val="clear" w:color="auto" w:fill="FFFFFF"/>
        </w:rPr>
        <w:t xml:space="preserve"> </w:t>
      </w:r>
      <w:r w:rsidRPr="00885938">
        <w:rPr>
          <w:rFonts w:ascii="Arial" w:hAnsi="Arial" w:cs="Arial"/>
          <w:color w:val="000000"/>
          <w:shd w:val="clear" w:color="auto" w:fill="FFFFFF"/>
        </w:rPr>
        <w:t xml:space="preserve">She </w:t>
      </w:r>
      <w:r w:rsidRPr="00885938">
        <w:rPr>
          <w:rFonts w:ascii="Arial" w:hAnsi="Arial" w:cs="Arial"/>
          <w:color w:val="000000" w:themeColor="text1"/>
        </w:rPr>
        <w:t xml:space="preserve">recognized that the tobacco industry had tailored nicotine content and delivery in tobacco products for decades to better addict those initiating smoking. </w:t>
      </w:r>
    </w:p>
    <w:p w14:paraId="699BFB7C" w14:textId="5A638199" w:rsidR="00375D82" w:rsidRPr="00885938" w:rsidRDefault="00375D82" w:rsidP="00AC67E9">
      <w:pPr>
        <w:spacing w:after="120"/>
        <w:ind w:left="720"/>
        <w:jc w:val="both"/>
        <w:rPr>
          <w:rFonts w:ascii="Arial" w:hAnsi="Arial" w:cs="Arial"/>
          <w:i/>
        </w:rPr>
      </w:pPr>
      <w:r w:rsidRPr="00885938">
        <w:rPr>
          <w:rFonts w:ascii="Arial" w:hAnsi="Arial" w:cs="Arial"/>
          <w:i/>
          <w:color w:val="000000" w:themeColor="text1"/>
        </w:rPr>
        <w:t>“</w:t>
      </w:r>
      <w:r w:rsidRPr="00885938">
        <w:rPr>
          <w:rFonts w:ascii="Arial" w:hAnsi="Arial" w:cs="Arial"/>
          <w:i/>
        </w:rPr>
        <w:t xml:space="preserve">As demonstrated in the previous Section, Defendants have long known that nicotine creates and sustains an addiction to smoking and that cigarette sales, and ultimately tobacco company profits, depend on creating and sustaining that addiction. Section V(B)(3), supra. Given the importance of nicotine to the ultimate financial health of Defendants, they have undertaken extensive research into how nicotine operates within the human body and how the physical and chemical design parameters of cigarettes influence the delivery of nicotine to smokers. Using the knowledge produced by that research, Defendants have designed their cigarettes to precisely control nicotine delivery levels and provide doses of nicotine sufficient to create and sustain addiction. At the same time, Defendants have concealed much of their nicotine-related </w:t>
      </w:r>
      <w:proofErr w:type="gramStart"/>
      <w:r w:rsidRPr="00885938">
        <w:rPr>
          <w:rFonts w:ascii="Arial" w:hAnsi="Arial" w:cs="Arial"/>
          <w:i/>
        </w:rPr>
        <w:t>research, and</w:t>
      </w:r>
      <w:proofErr w:type="gramEnd"/>
      <w:r w:rsidRPr="00885938">
        <w:rPr>
          <w:rFonts w:ascii="Arial" w:hAnsi="Arial" w:cs="Arial"/>
          <w:i/>
        </w:rPr>
        <w:t xml:space="preserve"> have continuously and vigorously denied their efforts to control nicotine levels and delivery.</w:t>
      </w:r>
      <w:r w:rsidR="00885938">
        <w:rPr>
          <w:rFonts w:ascii="Arial" w:hAnsi="Arial" w:cs="Arial"/>
          <w:i/>
        </w:rPr>
        <w:t>”</w:t>
      </w:r>
      <w:r w:rsidRPr="00885938">
        <w:rPr>
          <w:rStyle w:val="FootnoteReference"/>
          <w:rFonts w:ascii="Arial" w:hAnsi="Arial" w:cs="Arial"/>
          <w:i/>
        </w:rPr>
        <w:footnoteReference w:id="32"/>
      </w:r>
    </w:p>
    <w:p w14:paraId="7A868A2F" w14:textId="298EF79C" w:rsidR="00375D82" w:rsidRPr="008C0384" w:rsidRDefault="00375D82" w:rsidP="00AC67E9">
      <w:pPr>
        <w:spacing w:after="120"/>
        <w:ind w:right="-720"/>
        <w:jc w:val="both"/>
        <w:rPr>
          <w:rFonts w:ascii="Arial" w:hAnsi="Arial" w:cs="Arial"/>
        </w:rPr>
      </w:pPr>
      <w:r w:rsidRPr="00885938">
        <w:rPr>
          <w:rFonts w:ascii="Arial" w:hAnsi="Arial" w:cs="Arial"/>
          <w:color w:val="000000" w:themeColor="text1"/>
        </w:rPr>
        <w:t>Tragically, we are seeing a very similar process underway in the cannabis industry, where the concentration of tetrahydrocannabinol, the main psychoactive component of cannabis, has been rapidly increased over the past quarter century from approximately 3% to levels as high as 28% or more in flower.</w:t>
      </w:r>
      <w:r w:rsidR="00AD7828">
        <w:rPr>
          <w:rFonts w:ascii="Arial" w:hAnsi="Arial" w:cs="Arial"/>
          <w:color w:val="000000" w:themeColor="text1"/>
        </w:rPr>
        <w:t xml:space="preserve"> </w:t>
      </w:r>
      <w:r w:rsidRPr="00885938">
        <w:rPr>
          <w:rFonts w:ascii="Arial" w:hAnsi="Arial" w:cs="Arial"/>
          <w:color w:val="000000" w:themeColor="text1"/>
        </w:rPr>
        <w:t xml:space="preserve">Whether this is a conscious policy to deepen addiction, or merely an attempt to provide a stronger high, the net effect is the same. Agricultural production of cannabis, </w:t>
      </w:r>
      <w:r w:rsidR="00CD1395" w:rsidRPr="00885938">
        <w:rPr>
          <w:rFonts w:ascii="Arial" w:hAnsi="Arial" w:cs="Arial"/>
          <w:color w:val="000000" w:themeColor="text1"/>
        </w:rPr>
        <w:t xml:space="preserve">and commercial sales, </w:t>
      </w:r>
      <w:r w:rsidRPr="00885938">
        <w:rPr>
          <w:rFonts w:ascii="Arial" w:hAnsi="Arial" w:cs="Arial"/>
          <w:color w:val="000000" w:themeColor="text1"/>
        </w:rPr>
        <w:t>whether legal or illegal, ha</w:t>
      </w:r>
      <w:r w:rsidR="00CD1395" w:rsidRPr="00885938">
        <w:rPr>
          <w:rFonts w:ascii="Arial" w:hAnsi="Arial" w:cs="Arial"/>
          <w:color w:val="000000" w:themeColor="text1"/>
        </w:rPr>
        <w:t>ve</w:t>
      </w:r>
      <w:r w:rsidRPr="00885938">
        <w:rPr>
          <w:rFonts w:ascii="Arial" w:hAnsi="Arial" w:cs="Arial"/>
          <w:color w:val="000000" w:themeColor="text1"/>
        </w:rPr>
        <w:t xml:space="preserve"> been rapidly and massively shifting from traditional plants to more harmful high potency ones, unbalanced by cannabidiol, with a complete absence of public policy discussion or action on the associated public health risks. El </w:t>
      </w:r>
      <w:proofErr w:type="spellStart"/>
      <w:r w:rsidRPr="00885938">
        <w:rPr>
          <w:rFonts w:ascii="Arial" w:hAnsi="Arial" w:cs="Arial"/>
          <w:color w:val="000000" w:themeColor="text1"/>
        </w:rPr>
        <w:t>Sohly</w:t>
      </w:r>
      <w:proofErr w:type="spellEnd"/>
      <w:r w:rsidRPr="00885938">
        <w:rPr>
          <w:rFonts w:ascii="Arial" w:hAnsi="Arial" w:cs="Arial"/>
          <w:color w:val="000000" w:themeColor="text1"/>
        </w:rPr>
        <w:t xml:space="preserve"> </w:t>
      </w:r>
      <w:r w:rsidRPr="00885938">
        <w:rPr>
          <w:rFonts w:ascii="Arial" w:hAnsi="Arial" w:cs="Arial"/>
          <w:i/>
          <w:color w:val="000000" w:themeColor="text1"/>
        </w:rPr>
        <w:t>et al</w:t>
      </w:r>
      <w:r w:rsidRPr="00885938">
        <w:rPr>
          <w:rFonts w:ascii="Arial" w:hAnsi="Arial" w:cs="Arial"/>
          <w:color w:val="000000" w:themeColor="text1"/>
        </w:rPr>
        <w:t xml:space="preserve"> </w:t>
      </w:r>
      <w:r w:rsidRPr="008C0384">
        <w:rPr>
          <w:rFonts w:ascii="Arial" w:hAnsi="Arial" w:cs="Arial"/>
        </w:rPr>
        <w:t xml:space="preserve">note: </w:t>
      </w:r>
    </w:p>
    <w:p w14:paraId="662469F4" w14:textId="3448C361" w:rsidR="00375D82" w:rsidRPr="008C0384" w:rsidRDefault="00375D82" w:rsidP="00AC67E9">
      <w:pPr>
        <w:spacing w:after="120"/>
        <w:ind w:left="720"/>
        <w:jc w:val="both"/>
        <w:rPr>
          <w:rFonts w:ascii="Arial" w:hAnsi="Arial" w:cs="Arial"/>
          <w:i/>
        </w:rPr>
      </w:pPr>
      <w:r w:rsidRPr="008C0384">
        <w:rPr>
          <w:rFonts w:ascii="Arial" w:hAnsi="Arial" w:cs="Arial"/>
          <w:i/>
        </w:rPr>
        <w:t xml:space="preserve">“Between January 1, 1995, and December 31, 2014, 38,681 samples of cannabis preparations were received and analyzed. The data showed that although the number of marijuana samples seized over the last 4 years has declined, the number of </w:t>
      </w:r>
      <w:proofErr w:type="spellStart"/>
      <w:r w:rsidRPr="008C0384">
        <w:rPr>
          <w:rFonts w:ascii="Arial" w:hAnsi="Arial" w:cs="Arial"/>
          <w:i/>
        </w:rPr>
        <w:t>sinsemilla</w:t>
      </w:r>
      <w:proofErr w:type="spellEnd"/>
      <w:r w:rsidRPr="008C0384">
        <w:rPr>
          <w:rFonts w:ascii="Arial" w:hAnsi="Arial" w:cs="Arial"/>
          <w:i/>
        </w:rPr>
        <w:t xml:space="preserve"> samples has increased. Overall, the potency of illicit cannabis plant material has consistently increased over time since 1995 from ~4% in 1995 to ~12% in 2014. The cannabidiol content has decreased on average from ~.28% in 2001 to &lt;.15% in 2014, resulting in a change in the ratio of Δ</w:t>
      </w:r>
      <w:r w:rsidRPr="008C0384">
        <w:rPr>
          <w:rFonts w:ascii="Arial" w:hAnsi="Arial" w:cs="Arial"/>
          <w:i/>
          <w:vertAlign w:val="superscript"/>
        </w:rPr>
        <w:t>9</w:t>
      </w:r>
      <w:r w:rsidRPr="008C0384">
        <w:rPr>
          <w:rFonts w:ascii="Arial" w:hAnsi="Arial" w:cs="Arial"/>
          <w:i/>
        </w:rPr>
        <w:t>-</w:t>
      </w:r>
      <w:r w:rsidRPr="008C0384">
        <w:rPr>
          <w:rFonts w:ascii="Arial" w:hAnsi="Arial" w:cs="Arial"/>
          <w:i/>
        </w:rPr>
        <w:lastRenderedPageBreak/>
        <w:t xml:space="preserve">tetrahydrocannabinol to cannabidiol from 14 times in 1995 to ~80 times in 2014.” </w:t>
      </w:r>
      <w:r w:rsidRPr="008C0384">
        <w:rPr>
          <w:rStyle w:val="FootnoteReference"/>
          <w:rFonts w:ascii="Arial" w:hAnsi="Arial" w:cs="Arial"/>
          <w:i/>
        </w:rPr>
        <w:footnoteReference w:id="33"/>
      </w:r>
      <w:r w:rsidRPr="008C0384">
        <w:rPr>
          <w:rFonts w:ascii="Arial" w:hAnsi="Arial" w:cs="Arial"/>
          <w:i/>
        </w:rPr>
        <w:t xml:space="preserve"> </w:t>
      </w:r>
    </w:p>
    <w:p w14:paraId="425694E4" w14:textId="727FBFDD" w:rsidR="00375D82" w:rsidRPr="008C0384" w:rsidRDefault="00375D82" w:rsidP="00AC67E9">
      <w:pPr>
        <w:spacing w:after="120"/>
        <w:ind w:right="-720"/>
        <w:jc w:val="both"/>
        <w:rPr>
          <w:rFonts w:ascii="Arial" w:hAnsi="Arial" w:cs="Arial"/>
        </w:rPr>
      </w:pPr>
      <w:r w:rsidRPr="008C0384">
        <w:rPr>
          <w:rFonts w:ascii="Arial" w:hAnsi="Arial" w:cs="Arial"/>
        </w:rPr>
        <w:t xml:space="preserve">This transition to higher potency has been particularly dramatic </w:t>
      </w:r>
      <w:r w:rsidRPr="008C0384">
        <w:rPr>
          <w:rFonts w:ascii="Arial" w:hAnsi="Arial" w:cs="Arial"/>
          <w:b/>
        </w:rPr>
        <w:t>post-legalization of recreational cannabis</w:t>
      </w:r>
      <w:r w:rsidRPr="008C0384">
        <w:rPr>
          <w:rFonts w:ascii="Arial" w:hAnsi="Arial" w:cs="Arial"/>
        </w:rPr>
        <w:t>, with a recent study by RAND of the legalized market in the state of Washington demonstrating the rapid disappearance of traditional cannabis with concentrations of THC below 10% and the extraordinarily rapid growth of high potency flower with over 15%</w:t>
      </w:r>
      <w:r w:rsidR="00AD7828" w:rsidRPr="008C0384">
        <w:rPr>
          <w:rFonts w:ascii="Arial" w:hAnsi="Arial" w:cs="Arial"/>
        </w:rPr>
        <w:t xml:space="preserve"> </w:t>
      </w:r>
      <w:r w:rsidRPr="008C0384">
        <w:rPr>
          <w:rFonts w:ascii="Arial" w:hAnsi="Arial" w:cs="Arial"/>
        </w:rPr>
        <w:t>and 20% in the short period between 2014-2016:</w:t>
      </w:r>
    </w:p>
    <w:p w14:paraId="63A972F0" w14:textId="5478827C" w:rsidR="00375D82" w:rsidRPr="008C0384" w:rsidRDefault="00DF389F" w:rsidP="000269A1">
      <w:pPr>
        <w:spacing w:after="120"/>
        <w:ind w:left="720"/>
        <w:jc w:val="both"/>
        <w:rPr>
          <w:rFonts w:ascii="Arial" w:hAnsi="Arial" w:cs="Arial"/>
          <w:i/>
        </w:rPr>
      </w:pPr>
      <w:r w:rsidRPr="00EA3D8C">
        <w:rPr>
          <w:rFonts w:cstheme="minorHAnsi"/>
          <w:i/>
          <w:noProof/>
          <w:color w:val="000000" w:themeColor="text1"/>
        </w:rPr>
        <w:drawing>
          <wp:anchor distT="0" distB="0" distL="114300" distR="114300" simplePos="0" relativeHeight="251661312" behindDoc="1" locked="0" layoutInCell="1" allowOverlap="1" wp14:anchorId="787BA16E" wp14:editId="4DBD1FE4">
            <wp:simplePos x="0" y="0"/>
            <wp:positionH relativeFrom="column">
              <wp:posOffset>101644</wp:posOffset>
            </wp:positionH>
            <wp:positionV relativeFrom="paragraph">
              <wp:posOffset>125627</wp:posOffset>
            </wp:positionV>
            <wp:extent cx="3065780" cy="2032635"/>
            <wp:effectExtent l="0" t="0" r="0" b="0"/>
            <wp:wrapTight wrapText="bothSides">
              <wp:wrapPolygon edited="0">
                <wp:start x="0" y="0"/>
                <wp:lineTo x="0" y="21458"/>
                <wp:lineTo x="21475" y="21458"/>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09 at 1.11.22 PM.png"/>
                    <pic:cNvPicPr/>
                  </pic:nvPicPr>
                  <pic:blipFill rotWithShape="1">
                    <a:blip r:embed="rId10">
                      <a:extLst>
                        <a:ext uri="{28A0092B-C50C-407E-A947-70E740481C1C}">
                          <a14:useLocalDpi xmlns:a14="http://schemas.microsoft.com/office/drawing/2010/main" val="0"/>
                        </a:ext>
                      </a:extLst>
                    </a:blip>
                    <a:srcRect l="3000" r="2041"/>
                    <a:stretch/>
                  </pic:blipFill>
                  <pic:spPr bwMode="auto">
                    <a:xfrm>
                      <a:off x="0" y="0"/>
                      <a:ext cx="3065780" cy="2032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384">
        <w:rPr>
          <w:rFonts w:ascii="Arial" w:hAnsi="Arial" w:cs="Arial"/>
          <w:i/>
        </w:rPr>
        <w:t xml:space="preserve"> </w:t>
      </w:r>
      <w:r w:rsidR="00375D82" w:rsidRPr="008C0384">
        <w:rPr>
          <w:rFonts w:ascii="Arial" w:hAnsi="Arial" w:cs="Arial"/>
          <w:i/>
        </w:rPr>
        <w:t>“Among flower products, the market share of strains with greater than 15% THC has grown to 92.5% of flower sales (Fig. 3), and (not shown) an even greater share of THC consumption. Flowers with less than 10% THC now</w:t>
      </w:r>
      <w:r w:rsidR="00AD7828" w:rsidRPr="008C0384">
        <w:rPr>
          <w:rFonts w:ascii="Arial" w:hAnsi="Arial" w:cs="Arial"/>
          <w:i/>
        </w:rPr>
        <w:t xml:space="preserve"> </w:t>
      </w:r>
      <w:r w:rsidR="00375D82" w:rsidRPr="008C0384">
        <w:rPr>
          <w:rFonts w:ascii="Arial" w:hAnsi="Arial" w:cs="Arial"/>
          <w:i/>
        </w:rPr>
        <w:t xml:space="preserve">account for less than 2% of flower expenditures, and market share for flower products with 10–15% THC has declined significantly by 60.4% since October 2014 (linear trend P = 0.007;). In contrast, </w:t>
      </w:r>
      <w:r w:rsidR="00375D82" w:rsidRPr="008C0384">
        <w:rPr>
          <w:rFonts w:ascii="Arial" w:hAnsi="Arial" w:cs="Arial"/>
          <w:b/>
          <w:i/>
        </w:rPr>
        <w:t>the market share of flower products with more than 20% THC has increased by 48.4% since October 2014, now accounting for 56.5% of retail expenditures on cannabis flower</w:t>
      </w:r>
      <w:r w:rsidR="00375D82" w:rsidRPr="008C0384">
        <w:rPr>
          <w:rFonts w:ascii="Arial" w:hAnsi="Arial" w:cs="Arial"/>
          <w:i/>
        </w:rPr>
        <w:t>….” (See Figure)</w:t>
      </w:r>
      <w:r w:rsidR="00375D82" w:rsidRPr="008C0384">
        <w:rPr>
          <w:rStyle w:val="FootnoteReference"/>
          <w:rFonts w:ascii="Arial" w:hAnsi="Arial" w:cs="Arial"/>
          <w:i/>
        </w:rPr>
        <w:footnoteReference w:id="34"/>
      </w:r>
    </w:p>
    <w:p w14:paraId="23B659B0" w14:textId="0F665D8A" w:rsidR="00375D82" w:rsidRPr="008C0384" w:rsidRDefault="00375D82" w:rsidP="00AC67E9">
      <w:pPr>
        <w:spacing w:after="120"/>
        <w:ind w:right="-720"/>
        <w:jc w:val="both"/>
        <w:rPr>
          <w:rFonts w:ascii="Arial" w:hAnsi="Arial" w:cs="Arial"/>
        </w:rPr>
      </w:pPr>
      <w:r w:rsidRPr="008C0384">
        <w:rPr>
          <w:rFonts w:ascii="Arial" w:hAnsi="Arial" w:cs="Arial"/>
        </w:rPr>
        <w:t xml:space="preserve">The potential health effects of these shifts are of great concern. According to </w:t>
      </w:r>
      <w:proofErr w:type="spellStart"/>
      <w:r w:rsidRPr="008C0384">
        <w:rPr>
          <w:rFonts w:ascii="Arial" w:hAnsi="Arial" w:cs="Arial"/>
        </w:rPr>
        <w:t>Sagar</w:t>
      </w:r>
      <w:proofErr w:type="spellEnd"/>
      <w:r w:rsidRPr="008C0384">
        <w:rPr>
          <w:rFonts w:ascii="Arial" w:hAnsi="Arial" w:cs="Arial"/>
        </w:rPr>
        <w:t xml:space="preserve"> and Gruber: </w:t>
      </w:r>
    </w:p>
    <w:p w14:paraId="5A6E0939" w14:textId="1208552C" w:rsidR="00375D82" w:rsidRPr="008C0384" w:rsidRDefault="00375D82" w:rsidP="00CD17F9">
      <w:pPr>
        <w:spacing w:after="120"/>
        <w:ind w:left="720" w:right="-720"/>
        <w:jc w:val="both"/>
        <w:rPr>
          <w:rFonts w:ascii="Arial" w:hAnsi="Arial" w:cs="Arial"/>
          <w:i/>
        </w:rPr>
      </w:pPr>
      <w:r w:rsidRPr="008C0384">
        <w:rPr>
          <w:rFonts w:ascii="Arial" w:hAnsi="Arial" w:cs="Arial"/>
          <w:i/>
        </w:rPr>
        <w:t>“Although one study showed that individuals who smoke high potency MJ flower titrate their use to receive less THC, some suggest that, despite attempts to titrate high potency products, users are still exposed to higher amounts of THC than those using lower potency products</w:t>
      </w:r>
      <w:r w:rsidRPr="008C0384">
        <w:rPr>
          <w:rStyle w:val="FootnoteReference"/>
          <w:rFonts w:ascii="Arial" w:hAnsi="Arial" w:cs="Arial"/>
          <w:i/>
        </w:rPr>
        <w:footnoteReference w:id="35"/>
      </w:r>
      <w:r w:rsidRPr="008C0384">
        <w:rPr>
          <w:rFonts w:ascii="Arial" w:hAnsi="Arial" w:cs="Arial"/>
          <w:i/>
        </w:rPr>
        <w:t>, while still other studies have shown that individuals do not adjust their use when using higher potency products</w:t>
      </w:r>
      <w:r w:rsidRPr="008C0384">
        <w:rPr>
          <w:rStyle w:val="FootnoteReference"/>
          <w:rFonts w:ascii="Arial" w:hAnsi="Arial" w:cs="Arial"/>
          <w:i/>
        </w:rPr>
        <w:footnoteReference w:id="36"/>
      </w:r>
      <w:r w:rsidRPr="008C0384">
        <w:rPr>
          <w:rFonts w:ascii="Arial" w:hAnsi="Arial" w:cs="Arial"/>
          <w:i/>
        </w:rPr>
        <w:t>. Increased exposure to THC has also been associated with increased symptoms of cannabis use disorders</w:t>
      </w:r>
      <w:r w:rsidRPr="008C0384">
        <w:rPr>
          <w:rStyle w:val="FootnoteReference"/>
          <w:rFonts w:ascii="Arial" w:hAnsi="Arial" w:cs="Arial"/>
          <w:i/>
        </w:rPr>
        <w:footnoteReference w:id="37"/>
      </w:r>
      <w:r w:rsidRPr="008C0384">
        <w:rPr>
          <w:rFonts w:ascii="Arial" w:hAnsi="Arial" w:cs="Arial"/>
          <w:i/>
          <w:vertAlign w:val="superscript"/>
        </w:rPr>
        <w:t>,</w:t>
      </w:r>
      <w:r w:rsidRPr="008C0384">
        <w:rPr>
          <w:rStyle w:val="FootnoteReference"/>
          <w:rFonts w:ascii="Arial" w:hAnsi="Arial" w:cs="Arial"/>
          <w:i/>
        </w:rPr>
        <w:footnoteReference w:id="38"/>
      </w:r>
      <w:r w:rsidRPr="008C0384">
        <w:rPr>
          <w:rFonts w:ascii="Arial" w:hAnsi="Arial" w:cs="Arial"/>
          <w:i/>
          <w:vertAlign w:val="superscript"/>
        </w:rPr>
        <w:t xml:space="preserve"> </w:t>
      </w:r>
      <w:r w:rsidRPr="008C0384">
        <w:rPr>
          <w:rFonts w:ascii="Arial" w:hAnsi="Arial" w:cs="Arial"/>
          <w:i/>
        </w:rPr>
        <w:t xml:space="preserve">increased risk for </w:t>
      </w:r>
      <w:r w:rsidRPr="008C0384">
        <w:rPr>
          <w:rFonts w:ascii="Arial" w:hAnsi="Arial" w:cs="Arial"/>
          <w:i/>
        </w:rPr>
        <w:lastRenderedPageBreak/>
        <w:t>psychosis</w:t>
      </w:r>
      <w:r w:rsidR="00CD17F9" w:rsidRPr="008C0384">
        <w:rPr>
          <w:rFonts w:ascii="Arial" w:hAnsi="Arial" w:cs="Arial"/>
          <w:i/>
        </w:rPr>
        <w:t>,</w:t>
      </w:r>
      <w:r w:rsidRPr="008C0384">
        <w:rPr>
          <w:rStyle w:val="FootnoteReference"/>
          <w:rFonts w:ascii="Arial" w:hAnsi="Arial" w:cs="Arial"/>
          <w:i/>
        </w:rPr>
        <w:footnoteReference w:id="39"/>
      </w:r>
      <w:r w:rsidRPr="008C0384">
        <w:rPr>
          <w:rStyle w:val="hlfld-contribauthor"/>
          <w:rFonts w:ascii="Arial" w:hAnsi="Arial" w:cs="Arial"/>
          <w:i/>
          <w:shd w:val="clear" w:color="auto" w:fill="FFFFFF"/>
          <w:vertAlign w:val="superscript"/>
        </w:rPr>
        <w:t>,</w:t>
      </w:r>
      <w:r w:rsidRPr="008C0384">
        <w:rPr>
          <w:rStyle w:val="FootnoteReference"/>
          <w:rFonts w:ascii="Arial" w:hAnsi="Arial" w:cs="Arial"/>
          <w:i/>
          <w:shd w:val="clear" w:color="auto" w:fill="FFFFFF"/>
        </w:rPr>
        <w:footnoteReference w:id="40"/>
      </w:r>
      <w:r w:rsidRPr="008C0384">
        <w:rPr>
          <w:rStyle w:val="xlinks-container"/>
          <w:rFonts w:ascii="Arial" w:hAnsi="Arial" w:cs="Arial"/>
          <w:i/>
          <w:shd w:val="clear" w:color="auto" w:fill="FFFFFF"/>
        </w:rPr>
        <w:t xml:space="preserve"> </w:t>
      </w:r>
      <w:r w:rsidRPr="008C0384">
        <w:rPr>
          <w:rFonts w:ascii="Arial" w:hAnsi="Arial" w:cs="Arial"/>
          <w:i/>
        </w:rPr>
        <w:t>and, as observed in acute administration studies, impaired cognition</w:t>
      </w:r>
      <w:r w:rsidR="00CD17F9" w:rsidRPr="008C0384">
        <w:rPr>
          <w:rFonts w:ascii="Arial" w:hAnsi="Arial" w:cs="Arial"/>
          <w:i/>
        </w:rPr>
        <w:t>.</w:t>
      </w:r>
      <w:r w:rsidRPr="008C0384">
        <w:rPr>
          <w:rStyle w:val="FootnoteReference"/>
          <w:rFonts w:ascii="Arial" w:hAnsi="Arial" w:cs="Arial"/>
          <w:i/>
        </w:rPr>
        <w:footnoteReference w:id="41"/>
      </w:r>
      <w:r w:rsidRPr="008C0384">
        <w:rPr>
          <w:rFonts w:ascii="Arial" w:hAnsi="Arial" w:cs="Arial"/>
          <w:i/>
          <w:vertAlign w:val="superscript"/>
        </w:rPr>
        <w:t>,</w:t>
      </w:r>
      <w:r w:rsidRPr="008C0384">
        <w:rPr>
          <w:rStyle w:val="FootnoteReference"/>
          <w:rFonts w:ascii="Arial" w:hAnsi="Arial" w:cs="Arial"/>
          <w:i/>
        </w:rPr>
        <w:footnoteReference w:id="42"/>
      </w:r>
      <w:r w:rsidRPr="008C0384">
        <w:rPr>
          <w:rStyle w:val="xlinks-container"/>
          <w:rFonts w:ascii="Arial" w:hAnsi="Arial" w:cs="Arial"/>
          <w:i/>
          <w:shd w:val="clear" w:color="auto" w:fill="FFFFFF"/>
          <w:vertAlign w:val="superscript"/>
        </w:rPr>
        <w:t>,</w:t>
      </w:r>
      <w:r w:rsidRPr="008C0384">
        <w:rPr>
          <w:rStyle w:val="FootnoteReference"/>
          <w:rFonts w:ascii="Arial" w:hAnsi="Arial" w:cs="Arial"/>
          <w:i/>
          <w:shd w:val="clear" w:color="auto" w:fill="FFFFFF"/>
        </w:rPr>
        <w:footnoteReference w:id="43"/>
      </w:r>
      <w:r w:rsidRPr="008C0384">
        <w:rPr>
          <w:rFonts w:ascii="Arial" w:hAnsi="Arial" w:cs="Arial"/>
          <w:i/>
        </w:rPr>
        <w:t xml:space="preserve"> In addition, one study assessing the relationship between brain structure and potency of MJ flower products, classified as either ‘high’ or ‘low’ potency by self-report, noted alterations in corpus callosum white matter microstructure in high-potency MJ users </w:t>
      </w:r>
      <w:r w:rsidR="000269A1" w:rsidRPr="008C0384">
        <w:rPr>
          <w:rFonts w:ascii="Arial" w:hAnsi="Arial" w:cs="Arial"/>
          <w:noProof/>
        </w:rPr>
        <w:drawing>
          <wp:anchor distT="0" distB="0" distL="114300" distR="114300" simplePos="0" relativeHeight="251659264" behindDoc="1" locked="0" layoutInCell="1" allowOverlap="1" wp14:anchorId="6755F3BE" wp14:editId="35F74A42">
            <wp:simplePos x="0" y="0"/>
            <wp:positionH relativeFrom="column">
              <wp:posOffset>-64135</wp:posOffset>
            </wp:positionH>
            <wp:positionV relativeFrom="paragraph">
              <wp:posOffset>1407758</wp:posOffset>
            </wp:positionV>
            <wp:extent cx="2882900" cy="2006600"/>
            <wp:effectExtent l="0" t="0" r="0" b="0"/>
            <wp:wrapTight wrapText="bothSides">
              <wp:wrapPolygon edited="0">
                <wp:start x="0" y="0"/>
                <wp:lineTo x="0" y="21463"/>
                <wp:lineTo x="21505" y="21463"/>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09 at 1.03.16 PM.png"/>
                    <pic:cNvPicPr/>
                  </pic:nvPicPr>
                  <pic:blipFill>
                    <a:blip r:embed="rId11">
                      <a:extLst>
                        <a:ext uri="{28A0092B-C50C-407E-A947-70E740481C1C}">
                          <a14:useLocalDpi xmlns:a14="http://schemas.microsoft.com/office/drawing/2010/main" val="0"/>
                        </a:ext>
                      </a:extLst>
                    </a:blip>
                    <a:stretch>
                      <a:fillRect/>
                    </a:stretch>
                  </pic:blipFill>
                  <pic:spPr>
                    <a:xfrm>
                      <a:off x="0" y="0"/>
                      <a:ext cx="2882900" cy="2006600"/>
                    </a:xfrm>
                    <a:prstGeom prst="rect">
                      <a:avLst/>
                    </a:prstGeom>
                  </pic:spPr>
                </pic:pic>
              </a:graphicData>
            </a:graphic>
            <wp14:sizeRelH relativeFrom="page">
              <wp14:pctWidth>0</wp14:pctWidth>
            </wp14:sizeRelH>
            <wp14:sizeRelV relativeFrom="page">
              <wp14:pctHeight>0</wp14:pctHeight>
            </wp14:sizeRelV>
          </wp:anchor>
        </w:drawing>
      </w:r>
      <w:r w:rsidRPr="008C0384">
        <w:rPr>
          <w:rFonts w:ascii="Arial" w:hAnsi="Arial" w:cs="Arial"/>
          <w:i/>
        </w:rPr>
        <w:t>compared to low-potency users and controls.</w:t>
      </w:r>
      <w:r w:rsidRPr="008C0384">
        <w:rPr>
          <w:rStyle w:val="FootnoteReference"/>
          <w:rFonts w:ascii="Arial" w:hAnsi="Arial" w:cs="Arial"/>
          <w:i/>
        </w:rPr>
        <w:footnoteReference w:id="44"/>
      </w:r>
    </w:p>
    <w:p w14:paraId="5E6A48F2" w14:textId="7AD7D85D" w:rsidR="00375D82" w:rsidRPr="00885938" w:rsidRDefault="00375D82" w:rsidP="00CD17F9">
      <w:pPr>
        <w:spacing w:after="120"/>
        <w:ind w:right="-720"/>
        <w:jc w:val="both"/>
        <w:rPr>
          <w:rFonts w:ascii="Arial" w:hAnsi="Arial" w:cs="Arial"/>
          <w:color w:val="000000" w:themeColor="text1"/>
        </w:rPr>
      </w:pPr>
      <w:r w:rsidRPr="00885938">
        <w:rPr>
          <w:rFonts w:ascii="Arial" w:hAnsi="Arial" w:cs="Arial"/>
          <w:color w:val="000000" w:themeColor="text1"/>
        </w:rPr>
        <w:t xml:space="preserve">In the United Kingdom, Freeman found </w:t>
      </w:r>
      <w:r w:rsidRPr="00885938">
        <w:rPr>
          <w:rFonts w:ascii="Arial" w:hAnsi="Arial" w:cs="Arial"/>
          <w:color w:val="000000"/>
          <w:shd w:val="clear" w:color="auto" w:fill="FFFFFF"/>
        </w:rPr>
        <w:t>high-potency cannabis use to be associated with an increased severity of dependence, especially in young people. While its profile was strongly defined by negative effects such as memory impairment and paranoia, it was also perceived as offering “best high” or</w:t>
      </w:r>
      <w:r w:rsidR="00AD7828">
        <w:rPr>
          <w:rFonts w:ascii="Arial" w:hAnsi="Arial" w:cs="Arial"/>
          <w:color w:val="000000"/>
          <w:shd w:val="clear" w:color="auto" w:fill="FFFFFF"/>
        </w:rPr>
        <w:t xml:space="preserve"> </w:t>
      </w:r>
      <w:r w:rsidRPr="00885938">
        <w:rPr>
          <w:rFonts w:ascii="Arial" w:hAnsi="Arial" w:cs="Arial"/>
          <w:color w:val="000000"/>
          <w:shd w:val="clear" w:color="auto" w:fill="FFFFFF"/>
        </w:rPr>
        <w:t>“preferred.” </w:t>
      </w:r>
      <w:r w:rsidRPr="00885938">
        <w:rPr>
          <w:rStyle w:val="FootnoteReference"/>
          <w:rFonts w:ascii="Arial" w:hAnsi="Arial" w:cs="Arial"/>
          <w:color w:val="000000" w:themeColor="text1"/>
        </w:rPr>
        <w:footnoteReference w:id="45"/>
      </w:r>
      <w:r w:rsidRPr="00885938">
        <w:rPr>
          <w:rFonts w:ascii="Arial" w:hAnsi="Arial" w:cs="Arial"/>
          <w:color w:val="000000"/>
          <w:shd w:val="clear" w:color="auto" w:fill="FFFFFF"/>
        </w:rPr>
        <w:t xml:space="preserve"> </w:t>
      </w:r>
      <w:r w:rsidRPr="00885938">
        <w:rPr>
          <w:rFonts w:ascii="Arial" w:hAnsi="Arial" w:cs="Arial"/>
          <w:color w:val="000000" w:themeColor="text1"/>
        </w:rPr>
        <w:t>Consumption of higher potency products also corresponds over time to major upsurges on care seeking behavior for cannabis dependency in Europe, now the leading substance of abuse for seeking care (See Figure).</w:t>
      </w:r>
      <w:r w:rsidRPr="00885938">
        <w:rPr>
          <w:rStyle w:val="FootnoteReference"/>
          <w:rFonts w:ascii="Arial" w:hAnsi="Arial" w:cs="Arial"/>
          <w:color w:val="000000" w:themeColor="text1"/>
        </w:rPr>
        <w:footnoteReference w:id="46"/>
      </w:r>
      <w:r w:rsidRPr="00885938">
        <w:rPr>
          <w:rFonts w:ascii="Arial" w:hAnsi="Arial" w:cs="Arial"/>
          <w:color w:val="000000" w:themeColor="text1"/>
        </w:rPr>
        <w:t xml:space="preserve"> </w:t>
      </w:r>
    </w:p>
    <w:p w14:paraId="169A8590" w14:textId="2CE2BFEA" w:rsidR="00375D82" w:rsidRPr="00885938" w:rsidRDefault="00375D82" w:rsidP="00AC67E9">
      <w:pPr>
        <w:spacing w:after="120"/>
        <w:ind w:right="-720"/>
        <w:jc w:val="both"/>
        <w:rPr>
          <w:rFonts w:ascii="Arial" w:hAnsi="Arial" w:cs="Arial"/>
        </w:rPr>
      </w:pPr>
      <w:r w:rsidRPr="00885938">
        <w:rPr>
          <w:rFonts w:ascii="Arial" w:hAnsi="Arial" w:cs="Arial"/>
          <w:color w:val="000000" w:themeColor="text1"/>
        </w:rPr>
        <w:t>At a time when the US is in the throes of a major opioid epidemic, and our mental health and substance abuse services are strained to bursting, it makes little sense to facilitate this dangerous trend in a new and heavily regulated industry.</w:t>
      </w:r>
    </w:p>
    <w:p w14:paraId="4102AA9F" w14:textId="6FF4ACC9" w:rsidR="00375D82" w:rsidRPr="00885938" w:rsidRDefault="00375D82" w:rsidP="00AC67E9">
      <w:pPr>
        <w:spacing w:after="120"/>
        <w:ind w:right="-720"/>
        <w:jc w:val="both"/>
        <w:rPr>
          <w:rFonts w:ascii="Arial" w:hAnsi="Arial" w:cs="Arial"/>
          <w:color w:val="000000" w:themeColor="text1"/>
        </w:rPr>
      </w:pPr>
      <w:r w:rsidRPr="00885938">
        <w:rPr>
          <w:rFonts w:ascii="Arial" w:hAnsi="Arial" w:cs="Arial"/>
          <w:color w:val="000000" w:themeColor="text1"/>
        </w:rPr>
        <w:t>While the Netherlands tolerates cannabis sales, cannabis above 15% THC content are proposed as Schedule I.</w:t>
      </w:r>
      <w:r w:rsidRPr="00885938">
        <w:rPr>
          <w:rStyle w:val="FootnoteReference"/>
          <w:rFonts w:ascii="Arial" w:hAnsi="Arial" w:cs="Arial"/>
          <w:color w:val="000000" w:themeColor="text1"/>
        </w:rPr>
        <w:footnoteReference w:id="47"/>
      </w:r>
      <w:r w:rsidRPr="00885938">
        <w:rPr>
          <w:rFonts w:ascii="Arial" w:hAnsi="Arial" w:cs="Arial"/>
          <w:color w:val="000000" w:themeColor="text1"/>
        </w:rPr>
        <w:t xml:space="preserve"> Recent recommendations for legalization in the United Kingdom endorse restricting legalization to products below 15% THC.</w:t>
      </w:r>
      <w:r w:rsidRPr="00885938">
        <w:rPr>
          <w:rStyle w:val="FootnoteReference"/>
          <w:rFonts w:ascii="Arial" w:hAnsi="Arial" w:cs="Arial"/>
          <w:color w:val="000000" w:themeColor="text1"/>
        </w:rPr>
        <w:footnoteReference w:id="48"/>
      </w:r>
      <w:r w:rsidRPr="00885938">
        <w:rPr>
          <w:rFonts w:ascii="Arial" w:hAnsi="Arial" w:cs="Arial"/>
          <w:color w:val="000000" w:themeColor="text1"/>
        </w:rPr>
        <w:t xml:space="preserve"> Canada’s Task Force on Cannabis Legalization and Regulation recognized increasing potency as a fundamental public health challenge that needs to be addressed.</w:t>
      </w:r>
      <w:r w:rsidR="00455A3E">
        <w:rPr>
          <w:rStyle w:val="FootnoteReference"/>
          <w:rFonts w:ascii="Arial" w:hAnsi="Arial" w:cs="Arial"/>
          <w:color w:val="000000" w:themeColor="text1"/>
        </w:rPr>
        <w:footnoteReference w:id="49"/>
      </w:r>
      <w:r w:rsidR="00CD17F9">
        <w:rPr>
          <w:rFonts w:ascii="Arial" w:hAnsi="Arial" w:cs="Arial"/>
          <w:color w:val="000000" w:themeColor="text1"/>
        </w:rPr>
        <w:t xml:space="preserve"> </w:t>
      </w:r>
      <w:r w:rsidRPr="00885938">
        <w:rPr>
          <w:rFonts w:ascii="Arial" w:hAnsi="Arial" w:cs="Arial"/>
          <w:color w:val="000000" w:themeColor="text1"/>
        </w:rPr>
        <w:t xml:space="preserve">Inexplicably, the regulatory framework under development in California has completely omitted any effort to, or even discussion of how to, address this important challenge to date. </w:t>
      </w:r>
    </w:p>
    <w:p w14:paraId="1E587047" w14:textId="05FAA714" w:rsidR="00375D82" w:rsidRPr="00885938" w:rsidRDefault="00D622B0" w:rsidP="00AC67E9">
      <w:pPr>
        <w:spacing w:after="120"/>
        <w:ind w:right="-720"/>
        <w:jc w:val="both"/>
        <w:rPr>
          <w:rFonts w:ascii="Arial" w:hAnsi="Arial" w:cs="Arial"/>
          <w:color w:val="000000" w:themeColor="text1"/>
        </w:rPr>
      </w:pPr>
      <w:r w:rsidRPr="00885938">
        <w:rPr>
          <w:rFonts w:ascii="Arial" w:hAnsi="Arial" w:cs="Arial"/>
          <w:color w:val="000000" w:themeColor="text1"/>
        </w:rPr>
        <w:lastRenderedPageBreak/>
        <w:t xml:space="preserve">There is also much debate on </w:t>
      </w:r>
      <w:r w:rsidR="00AC58A2" w:rsidRPr="00885938">
        <w:rPr>
          <w:rFonts w:ascii="Arial" w:hAnsi="Arial" w:cs="Arial"/>
          <w:color w:val="000000" w:themeColor="text1"/>
        </w:rPr>
        <w:t>which cannabis concentrates should be allowed for sale.</w:t>
      </w:r>
      <w:r w:rsidR="00AC67E9">
        <w:rPr>
          <w:rStyle w:val="FootnoteReference"/>
          <w:rFonts w:ascii="Arial" w:hAnsi="Arial" w:cs="Arial"/>
          <w:color w:val="000000" w:themeColor="text1"/>
        </w:rPr>
        <w:footnoteReference w:id="50"/>
      </w:r>
      <w:r w:rsidR="00AD7828" w:rsidRPr="00AD7828">
        <w:rPr>
          <w:rFonts w:ascii="Arial" w:hAnsi="Arial" w:cs="Arial"/>
          <w:color w:val="000000" w:themeColor="text1"/>
          <w:vertAlign w:val="superscript"/>
        </w:rPr>
        <w:t>,</w:t>
      </w:r>
      <w:r w:rsidR="00AD7828">
        <w:rPr>
          <w:rStyle w:val="FootnoteReference"/>
          <w:rFonts w:ascii="Arial" w:hAnsi="Arial" w:cs="Arial"/>
          <w:color w:val="000000" w:themeColor="text1"/>
        </w:rPr>
        <w:footnoteReference w:id="51"/>
      </w:r>
      <w:r w:rsidR="00AD7828">
        <w:rPr>
          <w:rFonts w:ascii="Arial" w:hAnsi="Arial" w:cs="Arial"/>
          <w:color w:val="000000" w:themeColor="text1"/>
          <w:vertAlign w:val="superscript"/>
        </w:rPr>
        <w:t>,</w:t>
      </w:r>
      <w:r w:rsidR="00AD7828">
        <w:rPr>
          <w:rStyle w:val="FootnoteReference"/>
          <w:rFonts w:ascii="Arial" w:hAnsi="Arial" w:cs="Arial"/>
          <w:color w:val="000000" w:themeColor="text1"/>
        </w:rPr>
        <w:footnoteReference w:id="52"/>
      </w:r>
      <w:r w:rsidR="00AC58A2" w:rsidRPr="00885938">
        <w:rPr>
          <w:rFonts w:ascii="Arial" w:hAnsi="Arial" w:cs="Arial"/>
          <w:color w:val="000000" w:themeColor="text1"/>
        </w:rPr>
        <w:t xml:space="preserve"> </w:t>
      </w:r>
      <w:r w:rsidRPr="00885938">
        <w:rPr>
          <w:rFonts w:ascii="Arial" w:hAnsi="Arial" w:cs="Arial"/>
          <w:color w:val="000000" w:themeColor="text1"/>
        </w:rPr>
        <w:t xml:space="preserve">In particular, </w:t>
      </w:r>
      <w:proofErr w:type="spellStart"/>
      <w:r w:rsidRPr="00885938">
        <w:rPr>
          <w:rFonts w:ascii="Arial" w:hAnsi="Arial" w:cs="Arial"/>
          <w:color w:val="000000" w:themeColor="text1"/>
        </w:rPr>
        <w:t>u</w:t>
      </w:r>
      <w:r w:rsidR="00AC58A2" w:rsidRPr="00885938">
        <w:rPr>
          <w:rFonts w:ascii="Arial" w:hAnsi="Arial" w:cs="Arial"/>
          <w:color w:val="000000" w:themeColor="text1"/>
        </w:rPr>
        <w:t>ltra high</w:t>
      </w:r>
      <w:proofErr w:type="spellEnd"/>
      <w:r w:rsidR="00AC58A2" w:rsidRPr="00885938">
        <w:rPr>
          <w:rFonts w:ascii="Arial" w:hAnsi="Arial" w:cs="Arial"/>
          <w:color w:val="000000" w:themeColor="text1"/>
        </w:rPr>
        <w:t xml:space="preserve"> potency</w:t>
      </w:r>
      <w:r w:rsidR="00AD7828">
        <w:rPr>
          <w:rFonts w:ascii="Arial" w:hAnsi="Arial" w:cs="Arial"/>
          <w:color w:val="000000" w:themeColor="text1"/>
        </w:rPr>
        <w:t xml:space="preserve"> </w:t>
      </w:r>
      <w:r w:rsidRPr="00885938">
        <w:rPr>
          <w:rFonts w:ascii="Arial" w:hAnsi="Arial" w:cs="Arial"/>
          <w:color w:val="000000" w:themeColor="text1"/>
        </w:rPr>
        <w:t>products such as waxes and shatter have been associated with more severe problems including psychosis. While there are thoughtful arguments to be made both for legalizing manufacturing of high potency concentrates</w:t>
      </w:r>
      <w:r w:rsidR="00AD7828">
        <w:rPr>
          <w:rFonts w:ascii="Arial" w:hAnsi="Arial" w:cs="Arial"/>
          <w:color w:val="000000" w:themeColor="text1"/>
        </w:rPr>
        <w:t xml:space="preserve"> </w:t>
      </w:r>
      <w:r w:rsidRPr="00885938">
        <w:rPr>
          <w:rFonts w:ascii="Arial" w:hAnsi="Arial" w:cs="Arial"/>
          <w:color w:val="000000" w:themeColor="text1"/>
        </w:rPr>
        <w:t>(reducing accidents from illegal butane extraction and impurities, reducing illegal sale), and for prohibiting them (higher rates of psychosis, dependency,</w:t>
      </w:r>
      <w:r w:rsidR="00AD7828">
        <w:rPr>
          <w:rFonts w:ascii="Arial" w:hAnsi="Arial" w:cs="Arial"/>
          <w:color w:val="000000" w:themeColor="text1"/>
        </w:rPr>
        <w:t xml:space="preserve"> </w:t>
      </w:r>
      <w:r w:rsidRPr="00885938">
        <w:rPr>
          <w:rFonts w:ascii="Arial" w:hAnsi="Arial" w:cs="Arial"/>
          <w:color w:val="000000" w:themeColor="text1"/>
        </w:rPr>
        <w:t>and growing normalization of use of dabbing and higher potency with greater harm), a precautionary approach should be used until this issue is more carefully examined.</w:t>
      </w:r>
    </w:p>
    <w:p w14:paraId="0A24F31F" w14:textId="3B5BA794" w:rsidR="00A44B04" w:rsidRPr="00885938" w:rsidRDefault="00375D82" w:rsidP="00AC67E9">
      <w:pPr>
        <w:spacing w:after="120"/>
        <w:ind w:right="-720"/>
        <w:jc w:val="both"/>
        <w:rPr>
          <w:rFonts w:ascii="Arial" w:hAnsi="Arial" w:cs="Arial"/>
          <w:b/>
          <w:color w:val="000000" w:themeColor="text1"/>
        </w:rPr>
      </w:pPr>
      <w:r w:rsidRPr="00885938">
        <w:rPr>
          <w:rFonts w:ascii="Arial" w:hAnsi="Arial" w:cs="Arial"/>
          <w:color w:val="000000" w:themeColor="text1"/>
        </w:rPr>
        <w:t xml:space="preserve">As the lead agency responsible for regulating cannabis retailing in the State of California, it is essential that BCC act now to prohibit the sale of high potency </w:t>
      </w:r>
      <w:r w:rsidR="00D622B0" w:rsidRPr="00885938">
        <w:rPr>
          <w:rFonts w:ascii="Arial" w:hAnsi="Arial" w:cs="Arial"/>
          <w:color w:val="000000" w:themeColor="text1"/>
        </w:rPr>
        <w:t>flower and concentrates</w:t>
      </w:r>
      <w:r w:rsidRPr="00885938">
        <w:rPr>
          <w:rFonts w:ascii="Arial" w:hAnsi="Arial" w:cs="Arial"/>
          <w:color w:val="000000" w:themeColor="text1"/>
        </w:rPr>
        <w:t>. While there is still much debate about the best approach to be used, the policy of doing nothing, in use to date, has clearly not been successful. We recommend that the State contract with the University of California Office of the President to bring together an expert panel</w:t>
      </w:r>
      <w:r w:rsidR="00AC58A2" w:rsidRPr="00885938">
        <w:rPr>
          <w:rFonts w:ascii="Arial" w:hAnsi="Arial" w:cs="Arial"/>
          <w:color w:val="000000" w:themeColor="text1"/>
        </w:rPr>
        <w:t xml:space="preserve">, free of conflicts of interest such as relationships with the cannabis industry, </w:t>
      </w:r>
      <w:r w:rsidRPr="00885938">
        <w:rPr>
          <w:rFonts w:ascii="Arial" w:hAnsi="Arial" w:cs="Arial"/>
          <w:color w:val="000000" w:themeColor="text1"/>
        </w:rPr>
        <w:t>to produce a study of the public health risks of increasing cannabis potency, decreasing THC:CBD</w:t>
      </w:r>
      <w:r w:rsidR="00D622B0" w:rsidRPr="00885938">
        <w:rPr>
          <w:rFonts w:ascii="Arial" w:hAnsi="Arial" w:cs="Arial"/>
          <w:color w:val="000000" w:themeColor="text1"/>
        </w:rPr>
        <w:t xml:space="preserve">, </w:t>
      </w:r>
      <w:r w:rsidRPr="00885938">
        <w:rPr>
          <w:rFonts w:ascii="Arial" w:hAnsi="Arial" w:cs="Arial"/>
          <w:color w:val="000000" w:themeColor="text1"/>
        </w:rPr>
        <w:t>as well as of flavored cannabis products</w:t>
      </w:r>
      <w:r w:rsidR="00D622B0" w:rsidRPr="00885938">
        <w:rPr>
          <w:rFonts w:ascii="Arial" w:hAnsi="Arial" w:cs="Arial"/>
          <w:color w:val="000000" w:themeColor="text1"/>
        </w:rPr>
        <w:t xml:space="preserve"> that are potentially attractive to youth</w:t>
      </w:r>
      <w:r w:rsidRPr="00885938">
        <w:rPr>
          <w:rFonts w:ascii="Arial" w:hAnsi="Arial" w:cs="Arial"/>
          <w:color w:val="000000" w:themeColor="text1"/>
        </w:rPr>
        <w:t>,</w:t>
      </w:r>
      <w:r w:rsidR="00AD7828">
        <w:rPr>
          <w:rFonts w:ascii="Arial" w:hAnsi="Arial" w:cs="Arial"/>
          <w:color w:val="000000" w:themeColor="text1"/>
        </w:rPr>
        <w:t xml:space="preserve"> </w:t>
      </w:r>
      <w:r w:rsidRPr="00885938">
        <w:rPr>
          <w:rFonts w:ascii="Arial" w:hAnsi="Arial" w:cs="Arial"/>
          <w:color w:val="000000" w:themeColor="text1"/>
        </w:rPr>
        <w:t xml:space="preserve">and </w:t>
      </w:r>
      <w:r w:rsidR="00384542">
        <w:rPr>
          <w:rFonts w:ascii="Arial" w:hAnsi="Arial" w:cs="Arial"/>
          <w:color w:val="000000" w:themeColor="text1"/>
        </w:rPr>
        <w:t xml:space="preserve">an </w:t>
      </w:r>
      <w:r w:rsidRPr="00885938">
        <w:rPr>
          <w:rFonts w:ascii="Arial" w:hAnsi="Arial" w:cs="Arial"/>
          <w:color w:val="000000" w:themeColor="text1"/>
        </w:rPr>
        <w:t>analysis of regulatory and fiscal</w:t>
      </w:r>
      <w:r w:rsidR="00AD7828">
        <w:rPr>
          <w:rFonts w:ascii="Arial" w:hAnsi="Arial" w:cs="Arial"/>
          <w:color w:val="000000" w:themeColor="text1"/>
        </w:rPr>
        <w:t xml:space="preserve"> </w:t>
      </w:r>
      <w:r w:rsidRPr="00885938">
        <w:rPr>
          <w:rFonts w:ascii="Arial" w:hAnsi="Arial" w:cs="Arial"/>
          <w:color w:val="000000" w:themeColor="text1"/>
        </w:rPr>
        <w:t>options</w:t>
      </w:r>
      <w:r w:rsidR="00AD7828">
        <w:rPr>
          <w:rFonts w:ascii="Arial" w:hAnsi="Arial" w:cs="Arial"/>
          <w:color w:val="000000" w:themeColor="text1"/>
        </w:rPr>
        <w:t xml:space="preserve"> </w:t>
      </w:r>
      <w:r w:rsidRPr="00885938">
        <w:rPr>
          <w:rFonts w:ascii="Arial" w:hAnsi="Arial" w:cs="Arial"/>
          <w:color w:val="000000" w:themeColor="text1"/>
        </w:rPr>
        <w:t>to address these issues by</w:t>
      </w:r>
      <w:r w:rsidR="00AD7828">
        <w:rPr>
          <w:rFonts w:ascii="Arial" w:hAnsi="Arial" w:cs="Arial"/>
          <w:color w:val="000000" w:themeColor="text1"/>
        </w:rPr>
        <w:t xml:space="preserve"> </w:t>
      </w:r>
      <w:r w:rsidRPr="00885938">
        <w:rPr>
          <w:rFonts w:ascii="Arial" w:hAnsi="Arial" w:cs="Arial"/>
          <w:color w:val="000000" w:themeColor="text1"/>
        </w:rPr>
        <w:t>mid-2019.</w:t>
      </w:r>
      <w:r w:rsidR="00AD7828">
        <w:rPr>
          <w:rFonts w:ascii="Arial" w:hAnsi="Arial" w:cs="Arial"/>
          <w:color w:val="000000" w:themeColor="text1"/>
        </w:rPr>
        <w:t xml:space="preserve"> </w:t>
      </w:r>
      <w:r w:rsidRPr="00885938">
        <w:rPr>
          <w:rFonts w:ascii="Arial" w:hAnsi="Arial" w:cs="Arial"/>
          <w:color w:val="000000" w:themeColor="text1"/>
        </w:rPr>
        <w:t>Until such time as that assessment is available, we strongly recommend a limit on the potency of allowable cannabis</w:t>
      </w:r>
      <w:r w:rsidR="00DF389F">
        <w:rPr>
          <w:rFonts w:ascii="Arial" w:hAnsi="Arial" w:cs="Arial"/>
          <w:color w:val="000000" w:themeColor="text1"/>
        </w:rPr>
        <w:t xml:space="preserve"> for sale at 20% THC, a limit on plants and seeds for sale to 20% THC when </w:t>
      </w:r>
      <w:proofErr w:type="gramStart"/>
      <w:r w:rsidR="00DF389F">
        <w:rPr>
          <w:rFonts w:ascii="Arial" w:hAnsi="Arial" w:cs="Arial"/>
          <w:color w:val="000000" w:themeColor="text1"/>
        </w:rPr>
        <w:t xml:space="preserve">mature, </w:t>
      </w:r>
      <w:r w:rsidR="00AD7828">
        <w:rPr>
          <w:rFonts w:ascii="Arial" w:hAnsi="Arial" w:cs="Arial"/>
          <w:color w:val="000000" w:themeColor="text1"/>
        </w:rPr>
        <w:t xml:space="preserve"> </w:t>
      </w:r>
      <w:r w:rsidR="00AC58A2" w:rsidRPr="00885938">
        <w:rPr>
          <w:rFonts w:ascii="Arial" w:hAnsi="Arial" w:cs="Arial"/>
          <w:color w:val="000000" w:themeColor="text1"/>
        </w:rPr>
        <w:t>and</w:t>
      </w:r>
      <w:proofErr w:type="gramEnd"/>
      <w:r w:rsidR="00AC58A2" w:rsidRPr="00885938">
        <w:rPr>
          <w:rFonts w:ascii="Arial" w:hAnsi="Arial" w:cs="Arial"/>
          <w:color w:val="000000" w:themeColor="text1"/>
        </w:rPr>
        <w:t xml:space="preserve"> cannabis </w:t>
      </w:r>
      <w:r w:rsidR="00D622B0" w:rsidRPr="00885938">
        <w:rPr>
          <w:rFonts w:ascii="Arial" w:hAnsi="Arial" w:cs="Arial"/>
          <w:color w:val="000000" w:themeColor="text1"/>
        </w:rPr>
        <w:t xml:space="preserve">concentrates </w:t>
      </w:r>
      <w:r w:rsidRPr="00885938">
        <w:rPr>
          <w:rFonts w:ascii="Arial" w:hAnsi="Arial" w:cs="Arial"/>
          <w:color w:val="000000" w:themeColor="text1"/>
        </w:rPr>
        <w:t>for sale</w:t>
      </w:r>
      <w:r w:rsidR="00D622B0" w:rsidRPr="00885938">
        <w:rPr>
          <w:rFonts w:ascii="Arial" w:hAnsi="Arial" w:cs="Arial"/>
          <w:color w:val="000000" w:themeColor="text1"/>
        </w:rPr>
        <w:t xml:space="preserve"> by licensed retailers</w:t>
      </w:r>
      <w:r w:rsidR="00DF389F">
        <w:rPr>
          <w:rFonts w:ascii="Arial" w:hAnsi="Arial" w:cs="Arial"/>
          <w:color w:val="000000" w:themeColor="text1"/>
        </w:rPr>
        <w:t xml:space="preserve"> at 50% THC</w:t>
      </w:r>
      <w:r w:rsidR="00D622B0" w:rsidRPr="00885938">
        <w:rPr>
          <w:rFonts w:ascii="Arial" w:hAnsi="Arial" w:cs="Arial"/>
          <w:color w:val="000000" w:themeColor="text1"/>
        </w:rPr>
        <w:t>, with aligned limits on cultivation and manufacturing</w:t>
      </w:r>
      <w:r w:rsidRPr="00885938">
        <w:rPr>
          <w:rFonts w:ascii="Arial" w:hAnsi="Arial" w:cs="Arial"/>
          <w:color w:val="000000" w:themeColor="text1"/>
        </w:rPr>
        <w:t>.</w:t>
      </w:r>
      <w:r w:rsidR="00AD7828">
        <w:rPr>
          <w:rFonts w:ascii="Arial" w:hAnsi="Arial" w:cs="Arial"/>
          <w:color w:val="000000" w:themeColor="text1"/>
        </w:rPr>
        <w:t xml:space="preserve"> </w:t>
      </w:r>
    </w:p>
    <w:p w14:paraId="3FFC84BB" w14:textId="10FA8E18" w:rsidR="00C60810" w:rsidRPr="00C60810" w:rsidRDefault="00C60810" w:rsidP="00C60810">
      <w:pPr>
        <w:spacing w:after="120"/>
        <w:ind w:right="-720"/>
        <w:jc w:val="both"/>
        <w:rPr>
          <w:rFonts w:ascii="Arial" w:hAnsi="Arial" w:cs="Arial"/>
        </w:rPr>
      </w:pPr>
      <w:r w:rsidRPr="00C60810">
        <w:rPr>
          <w:rFonts w:ascii="Arial" w:hAnsi="Arial" w:cs="Arial"/>
        </w:rPr>
        <w:t xml:space="preserve"> A further, related issue concerns the allowance of infused pre-rolls in the CDPH proposed text of regulations. Allowing additives and infusions of any kind in pre-rolls opens the door for</w:t>
      </w:r>
      <w:r w:rsidR="00DF389F">
        <w:rPr>
          <w:rFonts w:ascii="Arial" w:hAnsi="Arial" w:cs="Arial"/>
        </w:rPr>
        <w:t xml:space="preserve"> both high potency and</w:t>
      </w:r>
      <w:r w:rsidRPr="00C60810">
        <w:rPr>
          <w:rFonts w:ascii="Arial" w:hAnsi="Arial" w:cs="Arial"/>
        </w:rPr>
        <w:t xml:space="preserve"> flavored smokable products that may replicate the public health harms of flavored tobacco products. Pre-rolls are the cannabis product most similar to tobacco cigarettes and cigars. Flavored products attract young smokers to tobacco.</w:t>
      </w:r>
      <w:r w:rsidRPr="00C60810">
        <w:rPr>
          <w:rFonts w:ascii="Arial" w:hAnsi="Arial" w:cs="Arial"/>
          <w:vertAlign w:val="superscript"/>
        </w:rPr>
        <w:footnoteReference w:id="53"/>
      </w:r>
      <w:r w:rsidRPr="00C60810">
        <w:rPr>
          <w:rFonts w:ascii="Arial" w:hAnsi="Arial" w:cs="Arial"/>
          <w:vertAlign w:val="superscript"/>
        </w:rPr>
        <w:t>,</w:t>
      </w:r>
      <w:r w:rsidRPr="00C60810">
        <w:rPr>
          <w:rFonts w:ascii="Arial" w:hAnsi="Arial" w:cs="Arial"/>
          <w:vertAlign w:val="superscript"/>
        </w:rPr>
        <w:footnoteReference w:id="54"/>
      </w:r>
      <w:r w:rsidRPr="00C60810">
        <w:rPr>
          <w:rFonts w:ascii="Arial" w:hAnsi="Arial" w:cs="Arial"/>
          <w:vertAlign w:val="superscript"/>
        </w:rPr>
        <w:t>,</w:t>
      </w:r>
      <w:r w:rsidRPr="00C60810">
        <w:rPr>
          <w:rFonts w:ascii="Arial" w:hAnsi="Arial" w:cs="Arial"/>
          <w:vertAlign w:val="superscript"/>
        </w:rPr>
        <w:footnoteReference w:id="55"/>
      </w:r>
      <w:r w:rsidRPr="00C60810">
        <w:rPr>
          <w:rFonts w:ascii="Arial" w:hAnsi="Arial" w:cs="Arial"/>
          <w:vertAlign w:val="superscript"/>
        </w:rPr>
        <w:t>,</w:t>
      </w:r>
      <w:r w:rsidRPr="00C60810">
        <w:rPr>
          <w:rFonts w:ascii="Arial" w:hAnsi="Arial" w:cs="Arial"/>
          <w:vertAlign w:val="superscript"/>
        </w:rPr>
        <w:footnoteReference w:id="56"/>
      </w:r>
      <w:r w:rsidRPr="00C60810">
        <w:rPr>
          <w:rFonts w:ascii="Arial" w:hAnsi="Arial" w:cs="Arial"/>
        </w:rPr>
        <w:t xml:space="preserve"> Most adolescent tobacco users report that they began with flavored products and most current adolescent tobacco users use flavored products.</w:t>
      </w:r>
      <w:r w:rsidRPr="00C60810">
        <w:rPr>
          <w:rFonts w:ascii="Arial" w:hAnsi="Arial" w:cs="Arial"/>
          <w:vertAlign w:val="superscript"/>
        </w:rPr>
        <w:footnoteReference w:id="57"/>
      </w:r>
      <w:r w:rsidRPr="00C60810">
        <w:rPr>
          <w:rFonts w:ascii="Arial" w:hAnsi="Arial" w:cs="Arial"/>
        </w:rPr>
        <w:t xml:space="preserve"> We have provided further rationale in our comments to CDPH in support of </w:t>
      </w:r>
      <w:r w:rsidRPr="00C60810">
        <w:rPr>
          <w:rFonts w:ascii="Arial" w:hAnsi="Arial" w:cs="Arial"/>
          <w:b/>
        </w:rPr>
        <w:t xml:space="preserve">prohibiting the infusion of pre-rolls, including with concentrates and flavors, and </w:t>
      </w:r>
      <w:r w:rsidR="00DF389F">
        <w:rPr>
          <w:rFonts w:ascii="Arial" w:hAnsi="Arial" w:cs="Arial"/>
          <w:b/>
        </w:rPr>
        <w:t xml:space="preserve">if </w:t>
      </w:r>
      <w:proofErr w:type="spellStart"/>
      <w:r w:rsidR="00DF389F">
        <w:rPr>
          <w:rFonts w:ascii="Arial" w:hAnsi="Arial" w:cs="Arial"/>
          <w:b/>
        </w:rPr>
        <w:t>allowed for</w:t>
      </w:r>
      <w:proofErr w:type="spellEnd"/>
      <w:r w:rsidR="00DF389F">
        <w:rPr>
          <w:rFonts w:ascii="Arial" w:hAnsi="Arial" w:cs="Arial"/>
          <w:b/>
        </w:rPr>
        <w:t xml:space="preserve"> sale against this recommendation, </w:t>
      </w:r>
      <w:r w:rsidRPr="00C60810">
        <w:rPr>
          <w:rFonts w:ascii="Arial" w:hAnsi="Arial" w:cs="Arial"/>
          <w:b/>
        </w:rPr>
        <w:t>clearly distinguish</w:t>
      </w:r>
      <w:r w:rsidR="00916B1E">
        <w:rPr>
          <w:rFonts w:ascii="Arial" w:hAnsi="Arial" w:cs="Arial"/>
          <w:b/>
        </w:rPr>
        <w:t>ing</w:t>
      </w:r>
      <w:r w:rsidRPr="00C60810">
        <w:rPr>
          <w:rFonts w:ascii="Arial" w:hAnsi="Arial" w:cs="Arial"/>
          <w:b/>
        </w:rPr>
        <w:t xml:space="preserve"> between products that contain only plant material from those containing concentrates.</w:t>
      </w:r>
    </w:p>
    <w:p w14:paraId="0E47B0F8" w14:textId="6F42D1CA" w:rsidR="000F55AE" w:rsidRDefault="000F55AE" w:rsidP="00C60810">
      <w:pPr>
        <w:pStyle w:val="LevelA"/>
        <w:widowControl/>
        <w:suppressAutoHyphens/>
        <w:spacing w:after="120"/>
        <w:ind w:left="0" w:right="-720" w:firstLine="0"/>
        <w:jc w:val="both"/>
        <w:rPr>
          <w:rFonts w:ascii="Arial" w:hAnsi="Arial" w:cs="Arial"/>
          <w:szCs w:val="24"/>
        </w:rPr>
      </w:pPr>
    </w:p>
    <w:p w14:paraId="71772F83" w14:textId="77777777" w:rsidR="00D90F4B" w:rsidRPr="00C60810" w:rsidRDefault="00D90F4B" w:rsidP="00C60810">
      <w:pPr>
        <w:pStyle w:val="LevelA"/>
        <w:widowControl/>
        <w:suppressAutoHyphens/>
        <w:spacing w:after="120"/>
        <w:ind w:left="0" w:right="-720" w:firstLine="0"/>
        <w:jc w:val="both"/>
        <w:rPr>
          <w:rFonts w:ascii="Arial" w:hAnsi="Arial" w:cs="Arial"/>
          <w:szCs w:val="24"/>
        </w:rPr>
      </w:pPr>
    </w:p>
    <w:p w14:paraId="41D54444" w14:textId="77777777" w:rsidR="007C3410" w:rsidRPr="005F2995" w:rsidRDefault="007C3410" w:rsidP="001927FE">
      <w:pPr>
        <w:pStyle w:val="ListParagraph"/>
        <w:numPr>
          <w:ilvl w:val="0"/>
          <w:numId w:val="7"/>
        </w:numPr>
        <w:spacing w:after="120"/>
        <w:jc w:val="both"/>
        <w:rPr>
          <w:rFonts w:ascii="Arial" w:eastAsia="Times New Roman" w:hAnsi="Arial" w:cs="Arial"/>
          <w:i/>
        </w:rPr>
      </w:pPr>
      <w:r w:rsidRPr="005F2995">
        <w:rPr>
          <w:rFonts w:ascii="Arial" w:eastAsia="Times New Roman" w:hAnsi="Arial" w:cs="Arial"/>
          <w:i/>
        </w:rPr>
        <w:lastRenderedPageBreak/>
        <w:t>§ 5409. Daily Limits</w:t>
      </w:r>
    </w:p>
    <w:p w14:paraId="3C2CFCFB" w14:textId="523E939F" w:rsidR="007C3410" w:rsidRPr="003E7447" w:rsidRDefault="007C3410" w:rsidP="00AD7828">
      <w:pPr>
        <w:spacing w:after="120"/>
        <w:ind w:right="-720"/>
        <w:jc w:val="both"/>
        <w:rPr>
          <w:rFonts w:ascii="Arial" w:hAnsi="Arial" w:cs="Arial"/>
          <w:b/>
          <w:u w:val="single"/>
        </w:rPr>
      </w:pPr>
      <w:r w:rsidRPr="005F2995">
        <w:rPr>
          <w:rFonts w:ascii="Arial" w:hAnsi="Arial" w:cs="Arial"/>
        </w:rPr>
        <w:t xml:space="preserve">We agree with the Bureau in the need to impose a limit on the amount of cannabis that may be dispensed or sold to a patient to deter over-use, dependency, and dispensation </w:t>
      </w:r>
      <w:r w:rsidRPr="00D10959">
        <w:rPr>
          <w:rFonts w:ascii="Arial" w:hAnsi="Arial" w:cs="Arial"/>
        </w:rPr>
        <w:t>leading to diversion of the product. However, these limits are for daily sales from a dispensary and do not need to be identical</w:t>
      </w:r>
      <w:r>
        <w:rPr>
          <w:rFonts w:ascii="Arial" w:hAnsi="Arial" w:cs="Arial"/>
        </w:rPr>
        <w:t xml:space="preserve"> </w:t>
      </w:r>
      <w:r w:rsidRPr="00D10959">
        <w:rPr>
          <w:rFonts w:ascii="Arial" w:hAnsi="Arial" w:cs="Arial"/>
        </w:rPr>
        <w:t xml:space="preserve">to the possession limits in state law. Other states have adopted significantly lower limits. </w:t>
      </w:r>
    </w:p>
    <w:p w14:paraId="7325D1F4" w14:textId="5D0F1B22" w:rsidR="007C3410" w:rsidRDefault="007C3410" w:rsidP="00AD7828">
      <w:pPr>
        <w:spacing w:after="120"/>
        <w:ind w:right="-720"/>
        <w:jc w:val="both"/>
        <w:rPr>
          <w:rFonts w:ascii="Arial" w:hAnsi="Arial" w:cs="Arial"/>
        </w:rPr>
      </w:pPr>
      <w:r w:rsidRPr="00D10959">
        <w:rPr>
          <w:rFonts w:ascii="Arial" w:hAnsi="Arial" w:cs="Arial"/>
          <w:b/>
        </w:rPr>
        <w:t>The</w:t>
      </w:r>
      <w:r>
        <w:rPr>
          <w:rFonts w:ascii="Arial" w:hAnsi="Arial" w:cs="Arial"/>
          <w:b/>
        </w:rPr>
        <w:t xml:space="preserve"> </w:t>
      </w:r>
      <w:r w:rsidRPr="00D10959">
        <w:rPr>
          <w:rFonts w:ascii="Arial" w:hAnsi="Arial" w:cs="Arial"/>
          <w:b/>
        </w:rPr>
        <w:t>eight (8) ounce</w:t>
      </w:r>
      <w:r w:rsidR="00A877D9">
        <w:rPr>
          <w:rFonts w:ascii="Arial" w:hAnsi="Arial" w:cs="Arial"/>
          <w:b/>
        </w:rPr>
        <w:t xml:space="preserve"> or half a pound</w:t>
      </w:r>
      <w:r w:rsidR="00635516">
        <w:rPr>
          <w:rFonts w:ascii="Arial" w:hAnsi="Arial" w:cs="Arial"/>
          <w:b/>
        </w:rPr>
        <w:t xml:space="preserve"> </w:t>
      </w:r>
      <w:r w:rsidRPr="00D10959">
        <w:rPr>
          <w:rFonts w:ascii="Arial" w:hAnsi="Arial" w:cs="Arial"/>
          <w:b/>
        </w:rPr>
        <w:t>daily limit for medicinal cannabis</w:t>
      </w:r>
      <w:r>
        <w:rPr>
          <w:rFonts w:ascii="Arial" w:hAnsi="Arial" w:cs="Arial"/>
          <w:b/>
        </w:rPr>
        <w:t xml:space="preserve"> proposed in § 5409 </w:t>
      </w:r>
      <w:r w:rsidRPr="00D10959">
        <w:rPr>
          <w:rFonts w:ascii="Arial" w:hAnsi="Arial" w:cs="Arial"/>
          <w:b/>
        </w:rPr>
        <w:t>is greatly excessive</w:t>
      </w:r>
      <w:r w:rsidRPr="00D10959">
        <w:rPr>
          <w:rFonts w:ascii="Arial" w:hAnsi="Arial" w:cs="Arial"/>
        </w:rPr>
        <w:t>,</w:t>
      </w:r>
      <w:r>
        <w:rPr>
          <w:rFonts w:ascii="Arial" w:hAnsi="Arial" w:cs="Arial"/>
        </w:rPr>
        <w:t xml:space="preserve"> </w:t>
      </w:r>
      <w:r w:rsidRPr="00D10959">
        <w:rPr>
          <w:rFonts w:ascii="Arial" w:hAnsi="Arial" w:cs="Arial"/>
        </w:rPr>
        <w:t>may contribute to diversion of the product to illegal markets, and may attract crime to patients possessing that amount of product.</w:t>
      </w:r>
      <w:r>
        <w:rPr>
          <w:rFonts w:ascii="Arial" w:hAnsi="Arial" w:cs="Arial"/>
        </w:rPr>
        <w:t xml:space="preserve"> </w:t>
      </w:r>
    </w:p>
    <w:p w14:paraId="04654DB3" w14:textId="77110951" w:rsidR="007C3410" w:rsidRDefault="00F12A5E" w:rsidP="00AD7828">
      <w:pPr>
        <w:spacing w:after="120"/>
        <w:ind w:right="-720"/>
        <w:jc w:val="both"/>
        <w:rPr>
          <w:rFonts w:ascii="Arial" w:hAnsi="Arial" w:cs="Arial"/>
        </w:rPr>
      </w:pPr>
      <w:r>
        <w:rPr>
          <w:rFonts w:ascii="Arial" w:hAnsi="Arial" w:cs="Arial"/>
        </w:rPr>
        <w:t xml:space="preserve">In addition, </w:t>
      </w:r>
      <w:r w:rsidR="007C3410" w:rsidRPr="00D10959">
        <w:rPr>
          <w:rFonts w:ascii="Arial" w:hAnsi="Arial" w:cs="Arial"/>
        </w:rPr>
        <w:t>the limit on “medicinal cannabis”</w:t>
      </w:r>
      <w:r w:rsidR="007C3410">
        <w:rPr>
          <w:rFonts w:ascii="Arial" w:hAnsi="Arial" w:cs="Arial"/>
        </w:rPr>
        <w:t xml:space="preserve"> </w:t>
      </w:r>
      <w:r w:rsidR="007C3410" w:rsidRPr="00D10959">
        <w:rPr>
          <w:rFonts w:ascii="Arial" w:hAnsi="Arial" w:cs="Arial"/>
        </w:rPr>
        <w:t xml:space="preserve">appears to apply to a product containing cannabis, including, but not limited to, dry flower concentrates and extractions, intended to be sold for use by medical- and </w:t>
      </w:r>
      <w:r w:rsidR="007C3410">
        <w:rPr>
          <w:rFonts w:ascii="Arial" w:hAnsi="Arial" w:cs="Arial"/>
        </w:rPr>
        <w:t>recreational</w:t>
      </w:r>
      <w:r w:rsidR="007C3410" w:rsidRPr="00D10959">
        <w:rPr>
          <w:rFonts w:ascii="Arial" w:hAnsi="Arial" w:cs="Arial"/>
        </w:rPr>
        <w:t>-cannabis consumers in California.</w:t>
      </w:r>
      <w:r w:rsidR="007C3410">
        <w:rPr>
          <w:rFonts w:ascii="Arial" w:hAnsi="Arial" w:cs="Arial"/>
        </w:rPr>
        <w:t xml:space="preserve"> </w:t>
      </w:r>
      <w:r w:rsidR="007C3410" w:rsidRPr="00D10959">
        <w:rPr>
          <w:rFonts w:ascii="Arial" w:hAnsi="Arial" w:cs="Arial"/>
        </w:rPr>
        <w:t xml:space="preserve">In contrast, the 8-ounce possession limit in MAUCRSA </w:t>
      </w:r>
      <w:r w:rsidR="007C3410" w:rsidRPr="00D10959">
        <w:rPr>
          <w:rFonts w:ascii="Arial" w:hAnsi="Arial" w:cs="Arial"/>
          <w:b/>
          <w:u w:val="single"/>
        </w:rPr>
        <w:t>applies only to medical use dry cannabis</w:t>
      </w:r>
      <w:r w:rsidR="007C3410" w:rsidRPr="00D10959">
        <w:rPr>
          <w:rFonts w:ascii="Arial" w:hAnsi="Arial" w:cs="Arial"/>
        </w:rPr>
        <w:t xml:space="preserve"> and does not require that the daily sales limit should be the same.</w:t>
      </w:r>
      <w:r w:rsidR="007C3410">
        <w:rPr>
          <w:rFonts w:ascii="Arial" w:hAnsi="Arial" w:cs="Arial"/>
        </w:rPr>
        <w:t xml:space="preserve"> </w:t>
      </w:r>
    </w:p>
    <w:p w14:paraId="06E4C7FD" w14:textId="71C3652B" w:rsidR="007C3410" w:rsidRDefault="007C3410" w:rsidP="00AD7828">
      <w:pPr>
        <w:spacing w:after="120"/>
        <w:ind w:right="-720"/>
        <w:jc w:val="both"/>
        <w:rPr>
          <w:rFonts w:ascii="Arial" w:hAnsi="Arial" w:cs="Arial"/>
          <w:b/>
          <w:u w:val="single"/>
        </w:rPr>
      </w:pPr>
      <w:r w:rsidRPr="00D10959">
        <w:rPr>
          <w:rFonts w:ascii="Arial" w:hAnsi="Arial" w:cs="Arial"/>
        </w:rPr>
        <w:t>The Bureau’s draft regulation § 5409 mandates a daily sale limit of eight (8) ounces to a qualifying patient.</w:t>
      </w:r>
      <w:r>
        <w:rPr>
          <w:rFonts w:ascii="Arial" w:hAnsi="Arial" w:cs="Arial"/>
        </w:rPr>
        <w:t xml:space="preserve"> </w:t>
      </w:r>
      <w:r w:rsidRPr="00D10959">
        <w:rPr>
          <w:rFonts w:ascii="Arial" w:hAnsi="Arial" w:cs="Arial"/>
        </w:rPr>
        <w:t>In relevant part, “(b)</w:t>
      </w:r>
      <w:r>
        <w:rPr>
          <w:rFonts w:ascii="Arial" w:hAnsi="Arial" w:cs="Arial"/>
        </w:rPr>
        <w:t xml:space="preserve"> A licensed retailer</w:t>
      </w:r>
      <w:r w:rsidRPr="00D10959">
        <w:rPr>
          <w:rFonts w:ascii="Arial" w:hAnsi="Arial" w:cs="Arial"/>
        </w:rPr>
        <w:t xml:space="preserve"> shall not sell more than</w:t>
      </w:r>
      <w:r>
        <w:rPr>
          <w:rFonts w:ascii="Arial" w:hAnsi="Arial" w:cs="Arial"/>
        </w:rPr>
        <w:t xml:space="preserve"> the following amounts to a single medicinal cannabis patient, or to a patient’s primary caregiver purchasing medicinal cannabis on behalf of the patient, in a single day: (1)</w:t>
      </w:r>
      <w:r w:rsidRPr="00D10959">
        <w:rPr>
          <w:rFonts w:ascii="Arial" w:hAnsi="Arial" w:cs="Arial"/>
        </w:rPr>
        <w:t xml:space="preserve"> eight ounces of medical cannabis </w:t>
      </w:r>
      <w:r>
        <w:rPr>
          <w:rFonts w:ascii="Arial" w:hAnsi="Arial" w:cs="Arial"/>
        </w:rPr>
        <w:t>in the form of dried mature flowers or the plant conversion as provided in Health and Safety Code section 11362.77.”</w:t>
      </w:r>
      <w:r w:rsidRPr="00D10959">
        <w:rPr>
          <w:rFonts w:ascii="Arial" w:hAnsi="Arial" w:cs="Arial"/>
        </w:rPr>
        <w:t xml:space="preserve"> Imposition of a sale limit is justified in imposing a sale limit to: (1) prevent patients and caregivers from running afoul of the possession limit in Cal. Health &amp; Safety Code § 11362.77(a); (2) stem the urge for a patient to purchase more than she can use and divert the excess to the grey or black markets; and (3) reduce the risk that a patient becomes a target of crime after they exit the dispensary. </w:t>
      </w:r>
    </w:p>
    <w:p w14:paraId="479D438D" w14:textId="42097578" w:rsidR="007C3410" w:rsidRPr="009F7CE3" w:rsidRDefault="007C3410" w:rsidP="00AD7828">
      <w:pPr>
        <w:spacing w:after="120"/>
        <w:ind w:right="-720"/>
        <w:jc w:val="both"/>
        <w:rPr>
          <w:rFonts w:ascii="Arial" w:hAnsi="Arial" w:cs="Arial"/>
        </w:rPr>
      </w:pPr>
      <w:r w:rsidRPr="00D10959">
        <w:rPr>
          <w:rFonts w:ascii="Arial" w:hAnsi="Arial" w:cs="Arial"/>
        </w:rPr>
        <w:t>Even for dry cannabis, at 2 grams per joint, eight ounces of dried flower is equivalent to about 113 joints.</w:t>
      </w:r>
      <w:r w:rsidRPr="00D10959">
        <w:rPr>
          <w:rStyle w:val="FootnoteReference"/>
          <w:rFonts w:ascii="Arial" w:hAnsi="Arial" w:cs="Arial"/>
        </w:rPr>
        <w:footnoteReference w:id="58"/>
      </w:r>
      <w:r>
        <w:rPr>
          <w:rFonts w:ascii="Arial" w:hAnsi="Arial" w:cs="Arial"/>
        </w:rPr>
        <w:t xml:space="preserve"> </w:t>
      </w:r>
      <w:r w:rsidR="001A1FEA">
        <w:rPr>
          <w:rFonts w:ascii="Arial" w:hAnsi="Arial" w:cs="Arial"/>
        </w:rPr>
        <w:t>G</w:t>
      </w:r>
      <w:r w:rsidRPr="00D10959">
        <w:rPr>
          <w:rFonts w:ascii="Arial" w:hAnsi="Arial" w:cs="Arial"/>
        </w:rPr>
        <w:t>iven the negative health effects of consuming that much cannabis smoke, a patient requiring higher dosages of medical cannabis for treatment would be better off consuming a concentrated form of cannabis, such as a tincture.</w:t>
      </w:r>
    </w:p>
    <w:p w14:paraId="56A7DE4F" w14:textId="25C5D424" w:rsidR="007C3410" w:rsidRPr="003E7447" w:rsidRDefault="007C3410" w:rsidP="00AD7828">
      <w:pPr>
        <w:spacing w:after="120"/>
        <w:ind w:right="-720"/>
        <w:jc w:val="both"/>
        <w:rPr>
          <w:rFonts w:ascii="Arial" w:hAnsi="Arial" w:cs="Arial"/>
          <w:b/>
        </w:rPr>
      </w:pPr>
      <w:r w:rsidRPr="00D10959">
        <w:rPr>
          <w:rFonts w:ascii="Arial" w:hAnsi="Arial" w:cs="Arial"/>
        </w:rPr>
        <w:t xml:space="preserve">Even assuming that a patient is withdrawing enough for a monthly supply, </w:t>
      </w:r>
      <w:r w:rsidRPr="00D10959">
        <w:rPr>
          <w:rFonts w:ascii="Arial" w:hAnsi="Arial" w:cs="Arial"/>
          <w:b/>
        </w:rPr>
        <w:t>eight (8) ounces of dry flower per day is an excessive limit that encourages over-use</w:t>
      </w:r>
      <w:r w:rsidR="00FA14BF">
        <w:rPr>
          <w:rFonts w:ascii="Arial" w:hAnsi="Arial" w:cs="Arial"/>
          <w:b/>
        </w:rPr>
        <w:t>,</w:t>
      </w:r>
      <w:r w:rsidRPr="00D10959">
        <w:rPr>
          <w:rFonts w:ascii="Arial" w:hAnsi="Arial" w:cs="Arial"/>
          <w:b/>
        </w:rPr>
        <w:t xml:space="preserve"> driving dependency and diversion to the illicit market or to youth. </w:t>
      </w:r>
      <w:r w:rsidRPr="00D10959">
        <w:rPr>
          <w:rFonts w:ascii="Arial" w:hAnsi="Arial" w:cs="Arial"/>
        </w:rPr>
        <w:t>UCSF’s</w:t>
      </w:r>
      <w:r>
        <w:rPr>
          <w:rFonts w:ascii="Arial" w:hAnsi="Arial" w:cs="Arial"/>
        </w:rPr>
        <w:t xml:space="preserve"> </w:t>
      </w:r>
      <w:r w:rsidRPr="00D10959">
        <w:rPr>
          <w:rFonts w:ascii="Arial" w:hAnsi="Arial" w:cs="Arial"/>
        </w:rPr>
        <w:t xml:space="preserve">survey of 21 states and Washington, D.C. that have legalized medical cannabis indicates that </w:t>
      </w:r>
      <w:r w:rsidRPr="00670012">
        <w:rPr>
          <w:rFonts w:ascii="Arial" w:hAnsi="Arial" w:cs="Arial"/>
          <w:b/>
        </w:rPr>
        <w:t>California’s eight (8) ounce daily sale limit of medical cannabis would be</w:t>
      </w:r>
      <w:r>
        <w:rPr>
          <w:rFonts w:ascii="Arial" w:hAnsi="Arial" w:cs="Arial"/>
          <w:b/>
        </w:rPr>
        <w:t xml:space="preserve"> </w:t>
      </w:r>
      <w:r w:rsidRPr="00670012">
        <w:rPr>
          <w:rFonts w:ascii="Arial" w:hAnsi="Arial" w:cs="Arial"/>
          <w:b/>
        </w:rPr>
        <w:t>the highest in the nation</w:t>
      </w:r>
      <w:r w:rsidRPr="00670012">
        <w:rPr>
          <w:rFonts w:ascii="Arial" w:hAnsi="Arial" w:cs="Arial"/>
        </w:rPr>
        <w:t>:</w:t>
      </w:r>
    </w:p>
    <w:p w14:paraId="01084DDA" w14:textId="77777777" w:rsidR="007C3410" w:rsidRPr="00D10959" w:rsidRDefault="007C3410" w:rsidP="00AD7828">
      <w:pPr>
        <w:pStyle w:val="ListParagraph"/>
        <w:numPr>
          <w:ilvl w:val="0"/>
          <w:numId w:val="13"/>
        </w:numPr>
        <w:ind w:left="630" w:right="-720"/>
        <w:contextualSpacing w:val="0"/>
        <w:jc w:val="both"/>
        <w:rPr>
          <w:rFonts w:ascii="Arial" w:eastAsia="Times New Roman" w:hAnsi="Arial" w:cs="Arial"/>
        </w:rPr>
      </w:pPr>
      <w:r w:rsidRPr="00D10959">
        <w:rPr>
          <w:rFonts w:ascii="Arial" w:eastAsia="Times New Roman" w:hAnsi="Arial" w:cs="Arial"/>
        </w:rPr>
        <w:t xml:space="preserve">Two states impose daily sale limits of 1-2 ounces of medical cannabis </w:t>
      </w:r>
    </w:p>
    <w:p w14:paraId="369F4CCF" w14:textId="77777777" w:rsidR="007C3410" w:rsidRPr="00D10959" w:rsidRDefault="007C3410" w:rsidP="00AD7828">
      <w:pPr>
        <w:pStyle w:val="ListParagraph"/>
        <w:numPr>
          <w:ilvl w:val="0"/>
          <w:numId w:val="13"/>
        </w:numPr>
        <w:ind w:left="630" w:right="-720"/>
        <w:contextualSpacing w:val="0"/>
        <w:jc w:val="both"/>
        <w:rPr>
          <w:rFonts w:ascii="Arial" w:eastAsia="Times New Roman" w:hAnsi="Arial" w:cs="Arial"/>
        </w:rPr>
      </w:pPr>
      <w:r w:rsidRPr="00D10959">
        <w:rPr>
          <w:rFonts w:ascii="Arial" w:eastAsia="Times New Roman" w:hAnsi="Arial" w:cs="Arial"/>
        </w:rPr>
        <w:t>Sale Limit Outliers</w:t>
      </w:r>
    </w:p>
    <w:p w14:paraId="185265EA" w14:textId="5822F4E9" w:rsidR="007C3410" w:rsidRPr="00D10959" w:rsidRDefault="007C3410" w:rsidP="00AD7828">
      <w:pPr>
        <w:pStyle w:val="ListParagraph"/>
        <w:numPr>
          <w:ilvl w:val="1"/>
          <w:numId w:val="13"/>
        </w:numPr>
        <w:ind w:left="1080" w:right="-720"/>
        <w:contextualSpacing w:val="0"/>
        <w:jc w:val="both"/>
        <w:rPr>
          <w:rFonts w:ascii="Arial" w:eastAsia="Times New Roman" w:hAnsi="Arial" w:cs="Arial"/>
        </w:rPr>
      </w:pPr>
      <w:r w:rsidRPr="00D10959">
        <w:rPr>
          <w:rFonts w:ascii="Arial" w:eastAsia="Times New Roman" w:hAnsi="Arial" w:cs="Arial"/>
        </w:rPr>
        <w:t>One state imposes a two</w:t>
      </w:r>
      <w:r w:rsidR="00D622B0">
        <w:rPr>
          <w:rFonts w:ascii="Arial" w:eastAsia="Times New Roman" w:hAnsi="Arial" w:cs="Arial"/>
        </w:rPr>
        <w:t>-</w:t>
      </w:r>
      <w:r w:rsidRPr="00D10959">
        <w:rPr>
          <w:rFonts w:ascii="Arial" w:eastAsia="Times New Roman" w:hAnsi="Arial" w:cs="Arial"/>
        </w:rPr>
        <w:t>ounce sale limit for a ten-day period</w:t>
      </w:r>
      <w:r>
        <w:rPr>
          <w:rFonts w:ascii="Arial" w:eastAsia="Times New Roman" w:hAnsi="Arial" w:cs="Arial"/>
        </w:rPr>
        <w:t xml:space="preserve"> </w:t>
      </w:r>
    </w:p>
    <w:p w14:paraId="2C1C703D" w14:textId="501A6303" w:rsidR="007C3410" w:rsidRPr="00D10959" w:rsidRDefault="007C3410" w:rsidP="00AD7828">
      <w:pPr>
        <w:pStyle w:val="ListParagraph"/>
        <w:numPr>
          <w:ilvl w:val="1"/>
          <w:numId w:val="13"/>
        </w:numPr>
        <w:ind w:left="1080" w:right="-720"/>
        <w:contextualSpacing w:val="0"/>
        <w:jc w:val="both"/>
        <w:rPr>
          <w:rFonts w:ascii="Arial" w:eastAsia="Times New Roman" w:hAnsi="Arial" w:cs="Arial"/>
        </w:rPr>
      </w:pPr>
      <w:r w:rsidRPr="00D10959">
        <w:rPr>
          <w:rFonts w:ascii="Arial" w:eastAsia="Times New Roman" w:hAnsi="Arial" w:cs="Arial"/>
        </w:rPr>
        <w:t>New Mexico imposes an eight</w:t>
      </w:r>
      <w:r w:rsidR="00D622B0">
        <w:rPr>
          <w:rFonts w:ascii="Arial" w:eastAsia="Times New Roman" w:hAnsi="Arial" w:cs="Arial"/>
        </w:rPr>
        <w:t>-</w:t>
      </w:r>
      <w:r w:rsidRPr="00D10959">
        <w:rPr>
          <w:rFonts w:ascii="Arial" w:eastAsia="Times New Roman" w:hAnsi="Arial" w:cs="Arial"/>
        </w:rPr>
        <w:t>ounce sale limit for a three-month period</w:t>
      </w:r>
    </w:p>
    <w:p w14:paraId="5A0AB0C5" w14:textId="1F555829" w:rsidR="007C3410" w:rsidRPr="00D10959" w:rsidRDefault="007C3410" w:rsidP="00AD7828">
      <w:pPr>
        <w:pStyle w:val="ListParagraph"/>
        <w:numPr>
          <w:ilvl w:val="1"/>
          <w:numId w:val="13"/>
        </w:numPr>
        <w:ind w:left="1080" w:right="-720"/>
        <w:contextualSpacing w:val="0"/>
        <w:jc w:val="both"/>
        <w:rPr>
          <w:rFonts w:ascii="Arial" w:eastAsia="Times New Roman" w:hAnsi="Arial" w:cs="Arial"/>
          <w:u w:val="single"/>
        </w:rPr>
      </w:pPr>
      <w:r w:rsidRPr="00D10959">
        <w:rPr>
          <w:rFonts w:ascii="Arial" w:eastAsia="Times New Roman" w:hAnsi="Arial" w:cs="Arial"/>
        </w:rPr>
        <w:t xml:space="preserve">Massachusetts imposes a </w:t>
      </w:r>
      <w:r w:rsidR="00D622B0">
        <w:rPr>
          <w:rFonts w:ascii="Arial" w:eastAsia="Times New Roman" w:hAnsi="Arial" w:cs="Arial"/>
        </w:rPr>
        <w:t>ten-</w:t>
      </w:r>
      <w:r w:rsidRPr="00D10959">
        <w:rPr>
          <w:rFonts w:ascii="Arial" w:eastAsia="Times New Roman" w:hAnsi="Arial" w:cs="Arial"/>
        </w:rPr>
        <w:t>ounce sale limit for a two-month period</w:t>
      </w:r>
      <w:r w:rsidRPr="00D10959">
        <w:rPr>
          <w:rStyle w:val="FootnoteReference"/>
          <w:rFonts w:ascii="Arial" w:eastAsia="Times New Roman" w:hAnsi="Arial" w:cs="Arial"/>
        </w:rPr>
        <w:t xml:space="preserve"> </w:t>
      </w:r>
    </w:p>
    <w:p w14:paraId="672C62E2" w14:textId="77777777" w:rsidR="007C3410" w:rsidRPr="00D10959" w:rsidRDefault="007C3410" w:rsidP="00AD7828">
      <w:pPr>
        <w:pStyle w:val="ListParagraph"/>
        <w:numPr>
          <w:ilvl w:val="0"/>
          <w:numId w:val="13"/>
        </w:numPr>
        <w:ind w:left="720" w:right="-720"/>
        <w:contextualSpacing w:val="0"/>
        <w:jc w:val="both"/>
        <w:rPr>
          <w:rFonts w:ascii="Arial" w:eastAsia="Times New Roman" w:hAnsi="Arial" w:cs="Arial"/>
        </w:rPr>
      </w:pPr>
      <w:r w:rsidRPr="00D10959">
        <w:rPr>
          <w:rFonts w:ascii="Arial" w:eastAsia="Times New Roman" w:hAnsi="Arial" w:cs="Arial"/>
        </w:rPr>
        <w:t xml:space="preserve">Eight states impose a biweekly sale limit between 2.5-4 ounces of medical cannabis </w:t>
      </w:r>
    </w:p>
    <w:p w14:paraId="2CDA78D4" w14:textId="77777777" w:rsidR="007C3410" w:rsidRPr="00D10959" w:rsidRDefault="007C3410" w:rsidP="00AD7828">
      <w:pPr>
        <w:pStyle w:val="ListParagraph"/>
        <w:numPr>
          <w:ilvl w:val="0"/>
          <w:numId w:val="13"/>
        </w:numPr>
        <w:ind w:left="720" w:right="-720"/>
        <w:contextualSpacing w:val="0"/>
        <w:jc w:val="both"/>
        <w:rPr>
          <w:rFonts w:ascii="Arial" w:eastAsia="Times New Roman" w:hAnsi="Arial" w:cs="Arial"/>
        </w:rPr>
      </w:pPr>
      <w:r w:rsidRPr="00D10959">
        <w:rPr>
          <w:rFonts w:ascii="Arial" w:eastAsia="Times New Roman" w:hAnsi="Arial" w:cs="Arial"/>
        </w:rPr>
        <w:t>Three states and Washington, D.C. imposed a monthly sale limit of 2.5 ounces of medical cannabis</w:t>
      </w:r>
    </w:p>
    <w:p w14:paraId="545A391A" w14:textId="77777777" w:rsidR="007C3410" w:rsidRPr="00D10959" w:rsidRDefault="007C3410" w:rsidP="00AD7828">
      <w:pPr>
        <w:pStyle w:val="ListParagraph"/>
        <w:numPr>
          <w:ilvl w:val="0"/>
          <w:numId w:val="13"/>
        </w:numPr>
        <w:ind w:left="720" w:right="-720"/>
        <w:contextualSpacing w:val="0"/>
        <w:jc w:val="both"/>
        <w:rPr>
          <w:rFonts w:ascii="Arial" w:eastAsia="Times New Roman" w:hAnsi="Arial" w:cs="Arial"/>
          <w:u w:val="single"/>
        </w:rPr>
      </w:pPr>
      <w:r w:rsidRPr="00D10959">
        <w:rPr>
          <w:rFonts w:ascii="Arial" w:eastAsia="Times New Roman" w:hAnsi="Arial" w:cs="Arial"/>
        </w:rPr>
        <w:lastRenderedPageBreak/>
        <w:t>The regulatory election to tie the sale limit to the discretion of a physician is sound practice and bears resemblance to accepted practice in the medical and pharmacological fields</w:t>
      </w:r>
    </w:p>
    <w:p w14:paraId="4BCEB68B" w14:textId="1E8E4DEB" w:rsidR="007C3410" w:rsidRPr="003E7447" w:rsidRDefault="007C3410" w:rsidP="00AD7828">
      <w:pPr>
        <w:pStyle w:val="ListParagraph"/>
        <w:numPr>
          <w:ilvl w:val="0"/>
          <w:numId w:val="13"/>
        </w:numPr>
        <w:spacing w:after="120"/>
        <w:ind w:left="720" w:right="-720"/>
        <w:contextualSpacing w:val="0"/>
        <w:jc w:val="both"/>
        <w:rPr>
          <w:rFonts w:ascii="Arial" w:hAnsi="Arial" w:cs="Arial"/>
        </w:rPr>
      </w:pPr>
      <w:r w:rsidRPr="00D10959">
        <w:rPr>
          <w:rFonts w:ascii="Arial" w:eastAsia="Times New Roman" w:hAnsi="Arial" w:cs="Arial"/>
        </w:rPr>
        <w:t xml:space="preserve">Two states impose comparable </w:t>
      </w:r>
      <w:proofErr w:type="gramStart"/>
      <w:r w:rsidRPr="00D10959">
        <w:rPr>
          <w:rFonts w:ascii="Arial" w:eastAsia="Times New Roman" w:hAnsi="Arial" w:cs="Arial"/>
        </w:rPr>
        <w:t>eight ounce</w:t>
      </w:r>
      <w:proofErr w:type="gramEnd"/>
      <w:r w:rsidRPr="00D10959">
        <w:rPr>
          <w:rFonts w:ascii="Arial" w:eastAsia="Times New Roman" w:hAnsi="Arial" w:cs="Arial"/>
        </w:rPr>
        <w:t xml:space="preserve"> limits with dispensing terms of one month and three months</w:t>
      </w:r>
      <w:r>
        <w:rPr>
          <w:rFonts w:ascii="Arial" w:eastAsia="Times New Roman" w:hAnsi="Arial" w:cs="Arial"/>
        </w:rPr>
        <w:t xml:space="preserve"> </w:t>
      </w:r>
    </w:p>
    <w:p w14:paraId="61C6718F" w14:textId="194EFD36" w:rsidR="007C3410" w:rsidRPr="003E7447" w:rsidRDefault="007C3410" w:rsidP="00AD7828">
      <w:pPr>
        <w:spacing w:after="120"/>
        <w:ind w:right="-720"/>
        <w:jc w:val="both"/>
        <w:rPr>
          <w:rFonts w:ascii="Arial" w:hAnsi="Arial" w:cs="Arial"/>
        </w:rPr>
      </w:pPr>
      <w:r>
        <w:rPr>
          <w:rFonts w:ascii="Arial" w:hAnsi="Arial" w:cs="Arial"/>
        </w:rPr>
        <w:t xml:space="preserve">Finally, </w:t>
      </w:r>
      <w:r w:rsidRPr="00D10959">
        <w:rPr>
          <w:rFonts w:ascii="Arial" w:hAnsi="Arial" w:cs="Arial"/>
        </w:rPr>
        <w:t>a patient possessing an excess</w:t>
      </w:r>
      <w:r>
        <w:rPr>
          <w:rFonts w:ascii="Arial" w:hAnsi="Arial" w:cs="Arial"/>
        </w:rPr>
        <w:t xml:space="preserve">ive amount of medical cannabis </w:t>
      </w:r>
      <w:r w:rsidRPr="00D10959">
        <w:rPr>
          <w:rFonts w:ascii="Arial" w:hAnsi="Arial" w:cs="Arial"/>
        </w:rPr>
        <w:t>may attract robberies.</w:t>
      </w:r>
      <w:r>
        <w:rPr>
          <w:rFonts w:ascii="Arial" w:hAnsi="Arial" w:cs="Arial"/>
        </w:rPr>
        <w:t xml:space="preserve"> </w:t>
      </w:r>
      <w:r w:rsidR="004C5060">
        <w:rPr>
          <w:rFonts w:ascii="Arial" w:hAnsi="Arial" w:cs="Arial"/>
        </w:rPr>
        <w:t>T</w:t>
      </w:r>
      <w:r w:rsidRPr="00D10959">
        <w:rPr>
          <w:rFonts w:ascii="Arial" w:hAnsi="Arial" w:cs="Arial"/>
        </w:rPr>
        <w:t>he proposal of an eight-ounce sale limit is inconsistent with th</w:t>
      </w:r>
      <w:r w:rsidR="00FA14BF">
        <w:rPr>
          <w:rFonts w:ascii="Arial" w:hAnsi="Arial" w:cs="Arial"/>
        </w:rPr>
        <w:t xml:space="preserve">e objective of secure operations, </w:t>
      </w:r>
      <w:r w:rsidRPr="00D10959">
        <w:rPr>
          <w:rFonts w:ascii="Arial" w:hAnsi="Arial" w:cs="Arial"/>
        </w:rPr>
        <w:t>as a criminal has greater incentive t</w:t>
      </w:r>
      <w:r>
        <w:rPr>
          <w:rFonts w:ascii="Arial" w:hAnsi="Arial" w:cs="Arial"/>
        </w:rPr>
        <w:t>o rob a patient carrying a</w:t>
      </w:r>
      <w:r w:rsidRPr="00D10959">
        <w:rPr>
          <w:rFonts w:ascii="Arial" w:hAnsi="Arial" w:cs="Arial"/>
        </w:rPr>
        <w:t xml:space="preserve"> half pound of cannabis.</w:t>
      </w:r>
    </w:p>
    <w:p w14:paraId="2569D845" w14:textId="7D28B062" w:rsidR="007C3410" w:rsidRPr="003E7447" w:rsidRDefault="007C3410" w:rsidP="00AD7828">
      <w:pPr>
        <w:spacing w:after="120"/>
        <w:ind w:right="-720"/>
        <w:jc w:val="both"/>
        <w:rPr>
          <w:rFonts w:ascii="Arial" w:hAnsi="Arial" w:cs="Arial"/>
        </w:rPr>
      </w:pPr>
      <w:r w:rsidRPr="003E69FD">
        <w:rPr>
          <w:rFonts w:ascii="Arial" w:hAnsi="Arial" w:cs="Arial"/>
        </w:rPr>
        <w:t>To harmonize the eight-ounce dry medicinal cannabis possession limit and the potential needs of patients while inhibiting diversion,</w:t>
      </w:r>
      <w:r w:rsidRPr="003E69FD">
        <w:rPr>
          <w:rFonts w:ascii="Arial" w:hAnsi="Arial" w:cs="Arial"/>
          <w:b/>
        </w:rPr>
        <w:t xml:space="preserve"> the Bureau should create a transitional standard to reduce the daily limit for purchase to two ounces for medicinal cannabis and restrict that to dry cannabis as per MAUCRSA. </w:t>
      </w:r>
      <w:r w:rsidRPr="003E69FD">
        <w:rPr>
          <w:rFonts w:ascii="Arial" w:hAnsi="Arial" w:cs="Arial"/>
        </w:rPr>
        <w:t xml:space="preserve">It </w:t>
      </w:r>
      <w:r w:rsidR="004C5060">
        <w:rPr>
          <w:rFonts w:ascii="Arial" w:hAnsi="Arial" w:cs="Arial"/>
        </w:rPr>
        <w:t>sh</w:t>
      </w:r>
      <w:r w:rsidRPr="003E69FD">
        <w:rPr>
          <w:rFonts w:ascii="Arial" w:hAnsi="Arial" w:cs="Arial"/>
        </w:rPr>
        <w:t>ould creat</w:t>
      </w:r>
      <w:r>
        <w:rPr>
          <w:rFonts w:ascii="Arial" w:hAnsi="Arial" w:cs="Arial"/>
        </w:rPr>
        <w:t xml:space="preserve">e similar limits for edibles </w:t>
      </w:r>
      <w:r w:rsidRPr="003E69FD">
        <w:rPr>
          <w:rFonts w:ascii="Arial" w:hAnsi="Arial" w:cs="Arial"/>
        </w:rPr>
        <w:t xml:space="preserve">and concentrates based on THC content, roughly no more than 9600 mg of THC in concentrates or 168 10 mg </w:t>
      </w:r>
      <w:r>
        <w:rPr>
          <w:rFonts w:ascii="Arial" w:hAnsi="Arial" w:cs="Arial"/>
        </w:rPr>
        <w:t xml:space="preserve">THC </w:t>
      </w:r>
      <w:r w:rsidRPr="003E69FD">
        <w:rPr>
          <w:rFonts w:ascii="Arial" w:hAnsi="Arial" w:cs="Arial"/>
        </w:rPr>
        <w:t>doses of edibles, approximately.</w:t>
      </w:r>
      <w:r>
        <w:rPr>
          <w:rFonts w:ascii="Arial" w:hAnsi="Arial" w:cs="Arial"/>
        </w:rPr>
        <w:t xml:space="preserve"> </w:t>
      </w:r>
    </w:p>
    <w:p w14:paraId="0B15FA18" w14:textId="2F782F30" w:rsidR="007C3410" w:rsidRDefault="007C3410" w:rsidP="00AD7828">
      <w:pPr>
        <w:spacing w:after="120"/>
        <w:ind w:right="-720"/>
        <w:jc w:val="both"/>
        <w:rPr>
          <w:rFonts w:ascii="Arial" w:hAnsi="Arial" w:cs="Arial"/>
        </w:rPr>
      </w:pPr>
      <w:r w:rsidRPr="003E69FD">
        <w:rPr>
          <w:rFonts w:ascii="Arial" w:hAnsi="Arial" w:cs="Arial"/>
          <w:b/>
        </w:rPr>
        <w:t xml:space="preserve">Daily limits for </w:t>
      </w:r>
      <w:r>
        <w:rPr>
          <w:rFonts w:ascii="Arial" w:hAnsi="Arial" w:cs="Arial"/>
          <w:b/>
        </w:rPr>
        <w:t xml:space="preserve">adult-use </w:t>
      </w:r>
      <w:r w:rsidRPr="003E69FD">
        <w:rPr>
          <w:rFonts w:ascii="Arial" w:hAnsi="Arial" w:cs="Arial"/>
          <w:b/>
        </w:rPr>
        <w:t xml:space="preserve">should </w:t>
      </w:r>
      <w:r>
        <w:rPr>
          <w:rFonts w:ascii="Arial" w:hAnsi="Arial" w:cs="Arial"/>
          <w:b/>
        </w:rPr>
        <w:t xml:space="preserve">be </w:t>
      </w:r>
      <w:r w:rsidRPr="003E69FD">
        <w:rPr>
          <w:rFonts w:ascii="Arial" w:hAnsi="Arial" w:cs="Arial"/>
          <w:b/>
        </w:rPr>
        <w:t xml:space="preserve">lower and </w:t>
      </w:r>
      <w:r>
        <w:rPr>
          <w:rFonts w:ascii="Arial" w:hAnsi="Arial" w:cs="Arial"/>
          <w:b/>
        </w:rPr>
        <w:t xml:space="preserve">be </w:t>
      </w:r>
      <w:r w:rsidRPr="003E69FD">
        <w:rPr>
          <w:rFonts w:ascii="Arial" w:hAnsi="Arial" w:cs="Arial"/>
          <w:b/>
        </w:rPr>
        <w:t xml:space="preserve">defined for edibles. </w:t>
      </w:r>
      <w:r w:rsidRPr="00D10959">
        <w:rPr>
          <w:rFonts w:ascii="Arial" w:hAnsi="Arial" w:cs="Arial"/>
          <w:b/>
        </w:rPr>
        <w:t>§ 5409</w:t>
      </w:r>
      <w:r w:rsidRPr="00D10959">
        <w:rPr>
          <w:rFonts w:ascii="Arial" w:hAnsi="Arial" w:cs="Arial"/>
        </w:rPr>
        <w:t xml:space="preserve"> provides a daily limit of 8 grams for concentrates, identical to the state possession limit in MAUCRSA.</w:t>
      </w:r>
      <w:r>
        <w:rPr>
          <w:rFonts w:ascii="Arial" w:hAnsi="Arial" w:cs="Arial"/>
        </w:rPr>
        <w:t xml:space="preserve"> </w:t>
      </w:r>
      <w:r w:rsidRPr="00D10959">
        <w:rPr>
          <w:rFonts w:ascii="Arial" w:hAnsi="Arial" w:cs="Arial"/>
        </w:rPr>
        <w:t xml:space="preserve">Colorado’s </w:t>
      </w:r>
      <w:r w:rsidR="00847481">
        <w:rPr>
          <w:rFonts w:ascii="Arial" w:hAnsi="Arial" w:cs="Arial"/>
        </w:rPr>
        <w:t>cannabis</w:t>
      </w:r>
      <w:r w:rsidRPr="00D10959">
        <w:rPr>
          <w:rFonts w:ascii="Arial" w:hAnsi="Arial" w:cs="Arial"/>
        </w:rPr>
        <w:t xml:space="preserve"> equivalency study suggested that one ounce of </w:t>
      </w:r>
      <w:r w:rsidR="00847481">
        <w:rPr>
          <w:rFonts w:ascii="Arial" w:hAnsi="Arial" w:cs="Arial"/>
        </w:rPr>
        <w:t>cannabis</w:t>
      </w:r>
      <w:r w:rsidRPr="00D10959">
        <w:rPr>
          <w:rFonts w:ascii="Arial" w:hAnsi="Arial" w:cs="Arial"/>
        </w:rPr>
        <w:t xml:space="preserve"> is roughly equivalent to 83 ten </w:t>
      </w:r>
      <w:r w:rsidR="004C5060">
        <w:rPr>
          <w:rFonts w:ascii="Arial" w:hAnsi="Arial" w:cs="Arial"/>
        </w:rPr>
        <w:t>mg</w:t>
      </w:r>
      <w:r w:rsidR="004C5060" w:rsidRPr="00D10959">
        <w:rPr>
          <w:rFonts w:ascii="Arial" w:hAnsi="Arial" w:cs="Arial"/>
        </w:rPr>
        <w:t xml:space="preserve"> </w:t>
      </w:r>
      <w:r w:rsidRPr="00D10959">
        <w:rPr>
          <w:rFonts w:ascii="Arial" w:hAnsi="Arial" w:cs="Arial"/>
        </w:rPr>
        <w:t>doses of edibles or 7.7 grams of concentrate at an average of 62% potency.</w:t>
      </w:r>
      <w:r>
        <w:rPr>
          <w:rFonts w:ascii="Arial" w:hAnsi="Arial" w:cs="Arial"/>
        </w:rPr>
        <w:t xml:space="preserve"> </w:t>
      </w:r>
      <w:r w:rsidRPr="00D10959">
        <w:rPr>
          <w:rFonts w:ascii="Arial" w:hAnsi="Arial" w:cs="Arial"/>
        </w:rPr>
        <w:t>They estimate base pharmacokinetic equivalency ratio is 1 to 5.71 for edibles to flower or average concentrate. If accurate, this means that one milligram of THC in edible form, is equivalent to 5.71 milligrams of THC in smokable form.</w:t>
      </w:r>
      <w:r w:rsidRPr="00D10959">
        <w:rPr>
          <w:rStyle w:val="FootnoteReference"/>
          <w:rFonts w:ascii="Arial" w:hAnsi="Arial" w:cs="Arial"/>
        </w:rPr>
        <w:footnoteReference w:id="59"/>
      </w:r>
      <w:r w:rsidRPr="00D10959">
        <w:rPr>
          <w:rFonts w:ascii="Arial" w:hAnsi="Arial" w:cs="Arial"/>
        </w:rPr>
        <w:t xml:space="preserve"> Therefore if one ounce of </w:t>
      </w:r>
      <w:r w:rsidR="00847481">
        <w:rPr>
          <w:rFonts w:ascii="Arial" w:hAnsi="Arial" w:cs="Arial"/>
        </w:rPr>
        <w:t>cannabis</w:t>
      </w:r>
      <w:r w:rsidRPr="00D10959">
        <w:rPr>
          <w:rFonts w:ascii="Arial" w:hAnsi="Arial" w:cs="Arial"/>
        </w:rPr>
        <w:t xml:space="preserve"> at 17% contains 4845 mg of THC, that would be roughly equivalent to 848 mg of THC in edibles or 84 of the 10 mg</w:t>
      </w:r>
      <w:r>
        <w:rPr>
          <w:rFonts w:ascii="Arial" w:hAnsi="Arial" w:cs="Arial"/>
        </w:rPr>
        <w:t xml:space="preserve"> </w:t>
      </w:r>
      <w:r w:rsidRPr="00D10959">
        <w:rPr>
          <w:rFonts w:ascii="Arial" w:hAnsi="Arial" w:cs="Arial"/>
        </w:rPr>
        <w:t>doses.</w:t>
      </w:r>
      <w:r>
        <w:rPr>
          <w:rFonts w:ascii="Arial" w:hAnsi="Arial" w:cs="Arial"/>
        </w:rPr>
        <w:t xml:space="preserve"> </w:t>
      </w:r>
    </w:p>
    <w:p w14:paraId="07665986" w14:textId="2CD018E7" w:rsidR="007C3410" w:rsidRPr="004C5060" w:rsidRDefault="007C3410" w:rsidP="00AD7828">
      <w:pPr>
        <w:spacing w:after="120"/>
        <w:ind w:right="-720"/>
        <w:jc w:val="both"/>
        <w:rPr>
          <w:rFonts w:ascii="Arial" w:hAnsi="Arial" w:cs="Arial"/>
        </w:rPr>
      </w:pPr>
      <w:proofErr w:type="gramStart"/>
      <w:r w:rsidRPr="00635516">
        <w:rPr>
          <w:rFonts w:ascii="Arial" w:hAnsi="Arial" w:cs="Arial"/>
        </w:rPr>
        <w:t>Nevertheless</w:t>
      </w:r>
      <w:proofErr w:type="gramEnd"/>
      <w:r w:rsidRPr="00635516">
        <w:rPr>
          <w:rFonts w:ascii="Arial" w:hAnsi="Arial" w:cs="Arial"/>
        </w:rPr>
        <w:t xml:space="preserve"> these amounts are quite high. Reducing the daily limit may help reduce diversion, exceeding possession limits, and illegal resales to youth.</w:t>
      </w:r>
      <w:r w:rsidRPr="00635516">
        <w:rPr>
          <w:rFonts w:ascii="Arial" w:hAnsi="Arial" w:cs="Arial"/>
          <w:i/>
        </w:rPr>
        <w:t xml:space="preserve"> </w:t>
      </w:r>
      <w:r w:rsidRPr="00635516">
        <w:rPr>
          <w:rFonts w:ascii="Arial" w:hAnsi="Arial" w:cs="Arial"/>
        </w:rPr>
        <w:t>We therefore</w:t>
      </w:r>
      <w:r w:rsidRPr="00635516">
        <w:rPr>
          <w:rFonts w:ascii="Arial" w:hAnsi="Arial" w:cs="Arial"/>
          <w:i/>
        </w:rPr>
        <w:t xml:space="preserve"> </w:t>
      </w:r>
      <w:r w:rsidRPr="00635516">
        <w:rPr>
          <w:rFonts w:ascii="Arial" w:hAnsi="Arial" w:cs="Arial"/>
        </w:rPr>
        <w:t>recommend that the daily sale limit for adult-use be lowered by half for flower and concentrate and created for edibles, based on THC equivalency to:</w:t>
      </w:r>
    </w:p>
    <w:p w14:paraId="7C852C4A" w14:textId="77777777" w:rsidR="007C3410" w:rsidRPr="00635516" w:rsidRDefault="007C3410" w:rsidP="003E7447">
      <w:pPr>
        <w:pStyle w:val="ListParagraph"/>
        <w:numPr>
          <w:ilvl w:val="0"/>
          <w:numId w:val="14"/>
        </w:numPr>
        <w:spacing w:after="120"/>
        <w:jc w:val="both"/>
        <w:rPr>
          <w:rFonts w:ascii="Arial" w:eastAsia="Times New Roman" w:hAnsi="Arial" w:cs="Arial"/>
        </w:rPr>
      </w:pPr>
      <w:r w:rsidRPr="00635516">
        <w:rPr>
          <w:rFonts w:ascii="Arial" w:eastAsia="Times New Roman" w:hAnsi="Arial" w:cs="Arial"/>
        </w:rPr>
        <w:t>one half-ounce flower</w:t>
      </w:r>
    </w:p>
    <w:p w14:paraId="1C00FF15" w14:textId="77777777" w:rsidR="007C3410" w:rsidRPr="00635516" w:rsidRDefault="007C3410" w:rsidP="003E7447">
      <w:pPr>
        <w:pStyle w:val="ListParagraph"/>
        <w:numPr>
          <w:ilvl w:val="0"/>
          <w:numId w:val="14"/>
        </w:numPr>
        <w:spacing w:after="120"/>
        <w:jc w:val="both"/>
        <w:rPr>
          <w:rFonts w:ascii="Arial" w:eastAsia="Times New Roman" w:hAnsi="Arial" w:cs="Arial"/>
        </w:rPr>
      </w:pPr>
      <w:r w:rsidRPr="00635516">
        <w:rPr>
          <w:rFonts w:ascii="Arial" w:eastAsia="Times New Roman" w:hAnsi="Arial" w:cs="Arial"/>
        </w:rPr>
        <w:t>2400 mg of THC in concentrate</w:t>
      </w:r>
    </w:p>
    <w:p w14:paraId="6D468731" w14:textId="77777777" w:rsidR="007C3410" w:rsidRPr="00635516" w:rsidRDefault="007C3410" w:rsidP="003E7447">
      <w:pPr>
        <w:pStyle w:val="ListParagraph"/>
        <w:numPr>
          <w:ilvl w:val="0"/>
          <w:numId w:val="14"/>
        </w:numPr>
        <w:spacing w:after="120"/>
        <w:jc w:val="both"/>
        <w:rPr>
          <w:rFonts w:ascii="Arial" w:eastAsia="Times New Roman" w:hAnsi="Arial" w:cs="Arial"/>
          <w:i/>
        </w:rPr>
      </w:pPr>
      <w:r w:rsidRPr="00635516">
        <w:rPr>
          <w:rFonts w:ascii="Arial" w:eastAsia="Times New Roman" w:hAnsi="Arial" w:cs="Arial"/>
        </w:rPr>
        <w:t>40 doses of 10 mg of edibles.</w:t>
      </w:r>
    </w:p>
    <w:p w14:paraId="45BD5657" w14:textId="77777777" w:rsidR="007C3410" w:rsidRDefault="007C3410" w:rsidP="007C3410">
      <w:pPr>
        <w:jc w:val="both"/>
        <w:rPr>
          <w:rFonts w:ascii="Arial" w:hAnsi="Arial" w:cs="Arial"/>
          <w:b/>
          <w:u w:val="single"/>
        </w:rPr>
      </w:pPr>
      <w:r w:rsidRPr="006916AA">
        <w:rPr>
          <w:rFonts w:ascii="Arial" w:hAnsi="Arial" w:cs="Arial"/>
          <w:b/>
          <w:noProof/>
          <w:u w:val="single"/>
        </w:rPr>
        <w:drawing>
          <wp:inline distT="0" distB="0" distL="0" distR="0" wp14:anchorId="7D37D421" wp14:editId="61D1FCA2">
            <wp:extent cx="6849110" cy="1768416"/>
            <wp:effectExtent l="0" t="0" r="8890" b="10160"/>
            <wp:docPr id="1" name="Picture 1" descr="../../../../../Desktop/Screen%20Shot%202017-12-01%20at%204.4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2-01%20at%204.42.34%2"/>
                    <pic:cNvPicPr>
                      <a:picLocks noChangeAspect="1" noChangeArrowheads="1"/>
                    </pic:cNvPicPr>
                  </pic:nvPicPr>
                  <pic:blipFill rotWithShape="1">
                    <a:blip r:embed="rId12">
                      <a:extLst>
                        <a:ext uri="{28A0092B-C50C-407E-A947-70E740481C1C}">
                          <a14:useLocalDpi xmlns:a14="http://schemas.microsoft.com/office/drawing/2010/main" val="0"/>
                        </a:ext>
                      </a:extLst>
                    </a:blip>
                    <a:srcRect b="4659"/>
                    <a:stretch/>
                  </pic:blipFill>
                  <pic:spPr bwMode="auto">
                    <a:xfrm>
                      <a:off x="0" y="0"/>
                      <a:ext cx="6849110" cy="17684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BA6250B" w14:textId="3E455BA3" w:rsidR="007C3410" w:rsidRPr="0005036E" w:rsidRDefault="007C3410" w:rsidP="007C3410">
      <w:pPr>
        <w:jc w:val="both"/>
        <w:rPr>
          <w:rFonts w:ascii="Arial" w:hAnsi="Arial" w:cs="Arial"/>
          <w:sz w:val="20"/>
          <w:szCs w:val="20"/>
          <w:u w:val="single"/>
        </w:rPr>
      </w:pPr>
      <w:r w:rsidRPr="0005036E">
        <w:rPr>
          <w:rFonts w:ascii="Arial" w:hAnsi="Arial" w:cs="Arial"/>
          <w:sz w:val="20"/>
          <w:szCs w:val="20"/>
          <w:u w:val="single"/>
        </w:rPr>
        <w:t>Ref: Marijuana Equivalency in Portion and Dosage, 2015</w:t>
      </w:r>
      <w:r w:rsidRPr="007C3410">
        <w:rPr>
          <w:rFonts w:ascii="Arial" w:hAnsi="Arial" w:cs="Arial"/>
          <w:sz w:val="20"/>
          <w:szCs w:val="20"/>
          <w:u w:val="single"/>
          <w:vertAlign w:val="superscript"/>
        </w:rPr>
        <w:t>1</w:t>
      </w:r>
      <w:r w:rsidR="005C5C9C">
        <w:rPr>
          <w:rFonts w:ascii="Arial" w:hAnsi="Arial" w:cs="Arial"/>
          <w:sz w:val="20"/>
          <w:szCs w:val="20"/>
          <w:u w:val="single"/>
          <w:vertAlign w:val="superscript"/>
        </w:rPr>
        <w:t>6</w:t>
      </w:r>
    </w:p>
    <w:p w14:paraId="5C5FFF7F" w14:textId="48497C76" w:rsidR="00F91926" w:rsidRDefault="00F91926" w:rsidP="007C3410">
      <w:pPr>
        <w:rPr>
          <w:rFonts w:ascii="Arial" w:hAnsi="Arial" w:cs="Arial"/>
        </w:rPr>
      </w:pPr>
    </w:p>
    <w:p w14:paraId="40B75436" w14:textId="54266BDD" w:rsidR="0050356C" w:rsidRPr="0050356C" w:rsidRDefault="0050356C" w:rsidP="0050356C">
      <w:pPr>
        <w:pStyle w:val="ListParagraph"/>
        <w:numPr>
          <w:ilvl w:val="0"/>
          <w:numId w:val="7"/>
        </w:numPr>
        <w:spacing w:after="120"/>
        <w:ind w:right="-720"/>
        <w:outlineLvl w:val="0"/>
        <w:rPr>
          <w:rFonts w:ascii="Arial" w:hAnsi="Arial" w:cs="Arial"/>
        </w:rPr>
      </w:pPr>
      <w:r w:rsidRPr="0050356C">
        <w:rPr>
          <w:rFonts w:ascii="Arial" w:hAnsi="Arial" w:cs="Arial"/>
          <w:i/>
        </w:rPr>
        <w:t>§ 5411. Free Cannabis Goods</w:t>
      </w:r>
    </w:p>
    <w:p w14:paraId="19A86426" w14:textId="72CD3114" w:rsidR="0050356C" w:rsidRPr="0050356C" w:rsidRDefault="0050356C" w:rsidP="00AD7828">
      <w:pPr>
        <w:ind w:right="-720"/>
        <w:jc w:val="both"/>
        <w:rPr>
          <w:rFonts w:ascii="Arial" w:hAnsi="Arial" w:cs="Arial"/>
        </w:rPr>
      </w:pPr>
      <w:r w:rsidRPr="0050356C">
        <w:rPr>
          <w:rFonts w:ascii="Arial" w:hAnsi="Arial" w:cs="Arial"/>
        </w:rPr>
        <w:t>We agree with th</w:t>
      </w:r>
      <w:r>
        <w:rPr>
          <w:rFonts w:ascii="Arial" w:hAnsi="Arial" w:cs="Arial"/>
        </w:rPr>
        <w:t>is</w:t>
      </w:r>
      <w:r w:rsidRPr="0050356C">
        <w:rPr>
          <w:rFonts w:ascii="Arial" w:hAnsi="Arial" w:cs="Arial"/>
        </w:rPr>
        <w:t xml:space="preserve"> provision that prohibits providing free cannabis goods to any person, which was also present in the emergency regulations. However, there are a number of other sales measures that encourage consumers to purchase more products than they might otherwise choose, such as discounting practices, </w:t>
      </w:r>
      <w:r w:rsidR="00384542">
        <w:rPr>
          <w:rFonts w:ascii="Arial" w:hAnsi="Arial" w:cs="Arial"/>
        </w:rPr>
        <w:t xml:space="preserve">and </w:t>
      </w:r>
      <w:r w:rsidRPr="0050356C">
        <w:rPr>
          <w:rFonts w:ascii="Arial" w:hAnsi="Arial" w:cs="Arial"/>
        </w:rPr>
        <w:t xml:space="preserve">honoring or redeeming coupons to allow the purchase of a cannabis product for less than full retail price. </w:t>
      </w:r>
      <w:r w:rsidRPr="00D90F4B">
        <w:rPr>
          <w:rFonts w:ascii="Arial" w:hAnsi="Arial" w:cs="Arial"/>
          <w:b/>
        </w:rPr>
        <w:t xml:space="preserve">Prohibiting </w:t>
      </w:r>
      <w:r w:rsidR="002E4772" w:rsidRPr="00D90F4B">
        <w:rPr>
          <w:rFonts w:ascii="Arial" w:hAnsi="Arial" w:cs="Arial"/>
          <w:b/>
        </w:rPr>
        <w:t xml:space="preserve">retailers from offering or redeeming such instruments </w:t>
      </w:r>
      <w:r w:rsidRPr="00D90F4B">
        <w:rPr>
          <w:rFonts w:ascii="Arial" w:hAnsi="Arial" w:cs="Arial"/>
          <w:b/>
        </w:rPr>
        <w:t>still allows cannabis retailers to set prices as they see fit and to modify them, including setting them low enough to help capture the illegal market</w:t>
      </w:r>
      <w:r w:rsidRPr="0050356C">
        <w:rPr>
          <w:rFonts w:ascii="Arial" w:hAnsi="Arial" w:cs="Arial"/>
        </w:rPr>
        <w:t>. Such steps have already been taken by local governments, including Sonoma County.</w:t>
      </w:r>
      <w:r w:rsidR="002E4772">
        <w:rPr>
          <w:rFonts w:ascii="Arial" w:hAnsi="Arial" w:cs="Arial"/>
        </w:rPr>
        <w:t xml:space="preserve"> Policies prohibiting discounting have been adopted</w:t>
      </w:r>
      <w:r w:rsidR="00AD7828">
        <w:rPr>
          <w:rFonts w:ascii="Arial" w:hAnsi="Arial" w:cs="Arial"/>
        </w:rPr>
        <w:t xml:space="preserve"> </w:t>
      </w:r>
      <w:r w:rsidR="002E4772">
        <w:rPr>
          <w:rFonts w:ascii="Arial" w:hAnsi="Arial" w:cs="Arial"/>
        </w:rPr>
        <w:t xml:space="preserve">in tobacco control to positive effect, including by California jurisdictions. </w:t>
      </w:r>
    </w:p>
    <w:p w14:paraId="6104EBBA" w14:textId="7DB7B6E9" w:rsidR="0050356C" w:rsidRDefault="0050356C" w:rsidP="0050356C">
      <w:pPr>
        <w:spacing w:after="120"/>
        <w:ind w:right="-720"/>
        <w:outlineLvl w:val="0"/>
        <w:rPr>
          <w:rFonts w:ascii="Arial" w:hAnsi="Arial" w:cs="Arial"/>
        </w:rPr>
      </w:pPr>
    </w:p>
    <w:p w14:paraId="3F54B953" w14:textId="2676024A" w:rsidR="00021A4D" w:rsidRPr="00846335" w:rsidRDefault="00021A4D" w:rsidP="00021A4D">
      <w:pPr>
        <w:pStyle w:val="ListParagraph"/>
        <w:numPr>
          <w:ilvl w:val="0"/>
          <w:numId w:val="7"/>
        </w:numPr>
        <w:autoSpaceDE w:val="0"/>
        <w:autoSpaceDN w:val="0"/>
        <w:adjustRightInd w:val="0"/>
        <w:rPr>
          <w:rFonts w:ascii="Arial" w:hAnsi="Arial" w:cs="Arial"/>
          <w:i/>
          <w:color w:val="000000"/>
          <w:lang w:val="pt-BR"/>
        </w:rPr>
      </w:pPr>
      <w:r w:rsidRPr="00846335">
        <w:rPr>
          <w:rFonts w:ascii="Arial" w:hAnsi="Arial" w:cs="Arial"/>
          <w:bCs/>
          <w:i/>
          <w:color w:val="000000"/>
          <w:lang w:val="pt-BR"/>
        </w:rPr>
        <w:t xml:space="preserve">§ 5413 </w:t>
      </w:r>
      <w:proofErr w:type="spellStart"/>
      <w:r w:rsidRPr="00846335">
        <w:rPr>
          <w:rFonts w:ascii="Arial" w:hAnsi="Arial" w:cs="Arial"/>
          <w:bCs/>
          <w:i/>
          <w:color w:val="000000"/>
          <w:lang w:val="pt-BR"/>
        </w:rPr>
        <w:t>Exit</w:t>
      </w:r>
      <w:proofErr w:type="spellEnd"/>
      <w:r w:rsidRPr="00846335">
        <w:rPr>
          <w:rFonts w:ascii="Arial" w:hAnsi="Arial" w:cs="Arial"/>
          <w:bCs/>
          <w:i/>
          <w:color w:val="000000"/>
          <w:lang w:val="pt-BR"/>
        </w:rPr>
        <w:t xml:space="preserve"> </w:t>
      </w:r>
      <w:proofErr w:type="spellStart"/>
      <w:r w:rsidRPr="00846335">
        <w:rPr>
          <w:rFonts w:ascii="Arial" w:hAnsi="Arial" w:cs="Arial"/>
          <w:bCs/>
          <w:i/>
          <w:color w:val="000000"/>
          <w:lang w:val="pt-BR"/>
        </w:rPr>
        <w:t>Packaging</w:t>
      </w:r>
      <w:proofErr w:type="spellEnd"/>
      <w:r w:rsidRPr="00846335">
        <w:rPr>
          <w:rFonts w:ascii="Arial" w:hAnsi="Arial" w:cs="Arial"/>
          <w:bCs/>
          <w:i/>
          <w:color w:val="000000"/>
          <w:lang w:val="pt-BR"/>
        </w:rPr>
        <w:t xml:space="preserve"> </w:t>
      </w:r>
    </w:p>
    <w:p w14:paraId="18429F8F" w14:textId="77777777" w:rsidR="00846335" w:rsidRPr="00846335" w:rsidRDefault="00846335" w:rsidP="00846335">
      <w:pPr>
        <w:pStyle w:val="ListParagraph"/>
        <w:autoSpaceDE w:val="0"/>
        <w:autoSpaceDN w:val="0"/>
        <w:adjustRightInd w:val="0"/>
        <w:rPr>
          <w:rFonts w:ascii="Arial" w:hAnsi="Arial" w:cs="Arial"/>
          <w:color w:val="000000"/>
          <w:lang w:val="pt-BR"/>
        </w:rPr>
      </w:pPr>
    </w:p>
    <w:p w14:paraId="30567853" w14:textId="23DAD1AE" w:rsidR="00021A4D" w:rsidRDefault="00846335" w:rsidP="00846335">
      <w:pPr>
        <w:autoSpaceDE w:val="0"/>
        <w:autoSpaceDN w:val="0"/>
        <w:adjustRightInd w:val="0"/>
        <w:jc w:val="both"/>
        <w:rPr>
          <w:rFonts w:ascii="Arial" w:hAnsi="Arial" w:cs="Arial"/>
          <w:color w:val="000000"/>
        </w:rPr>
      </w:pPr>
      <w:r>
        <w:rPr>
          <w:rFonts w:ascii="Arial" w:hAnsi="Arial" w:cs="Arial"/>
          <w:color w:val="000000"/>
        </w:rPr>
        <w:t>This section states that</w:t>
      </w:r>
      <w:r w:rsidR="00021A4D">
        <w:rPr>
          <w:rFonts w:ascii="Arial" w:hAnsi="Arial" w:cs="Arial"/>
          <w:color w:val="000000"/>
        </w:rPr>
        <w:t xml:space="preserve">: </w:t>
      </w:r>
      <w:r w:rsidR="00021A4D" w:rsidRPr="00021A4D">
        <w:rPr>
          <w:rFonts w:ascii="Arial" w:hAnsi="Arial" w:cs="Arial"/>
          <w:color w:val="000000"/>
        </w:rPr>
        <w:t>Cannabis goods purchased by a customer shall no</w:t>
      </w:r>
      <w:r w:rsidR="00021A4D">
        <w:rPr>
          <w:rFonts w:ascii="Arial" w:hAnsi="Arial" w:cs="Arial"/>
          <w:color w:val="000000"/>
        </w:rPr>
        <w:t xml:space="preserve">t leave the licensed retailer’s </w:t>
      </w:r>
      <w:r w:rsidR="00021A4D" w:rsidRPr="00021A4D">
        <w:rPr>
          <w:rFonts w:ascii="Arial" w:hAnsi="Arial" w:cs="Arial"/>
          <w:color w:val="000000"/>
        </w:rPr>
        <w:t xml:space="preserve">premises unless the goods are placed in a resealable child-resistant opaque exit package. </w:t>
      </w:r>
      <w:r w:rsidR="00021A4D">
        <w:rPr>
          <w:rFonts w:ascii="Arial" w:hAnsi="Arial" w:cs="Arial"/>
          <w:color w:val="000000"/>
        </w:rPr>
        <w:t xml:space="preserve"> While we applaud the idea of child resistant </w:t>
      </w:r>
      <w:proofErr w:type="spellStart"/>
      <w:r w:rsidR="00021A4D">
        <w:rPr>
          <w:rFonts w:ascii="Arial" w:hAnsi="Arial" w:cs="Arial"/>
          <w:color w:val="000000"/>
        </w:rPr>
        <w:t>packaking</w:t>
      </w:r>
      <w:proofErr w:type="spellEnd"/>
      <w:r w:rsidR="00021A4D">
        <w:rPr>
          <w:rFonts w:ascii="Arial" w:hAnsi="Arial" w:cs="Arial"/>
          <w:color w:val="000000"/>
        </w:rPr>
        <w:t xml:space="preserve">, moving that requirement from the primary package of the product to </w:t>
      </w:r>
      <w:r>
        <w:rPr>
          <w:rFonts w:ascii="Arial" w:hAnsi="Arial" w:cs="Arial"/>
          <w:color w:val="000000"/>
        </w:rPr>
        <w:t xml:space="preserve">store </w:t>
      </w:r>
      <w:r w:rsidR="00021A4D">
        <w:rPr>
          <w:rFonts w:ascii="Arial" w:hAnsi="Arial" w:cs="Arial"/>
          <w:color w:val="000000"/>
        </w:rPr>
        <w:t xml:space="preserve">exit packaging </w:t>
      </w:r>
      <w:r>
        <w:rPr>
          <w:rFonts w:ascii="Arial" w:hAnsi="Arial" w:cs="Arial"/>
          <w:color w:val="000000"/>
        </w:rPr>
        <w:t xml:space="preserve">undermines </w:t>
      </w:r>
      <w:r w:rsidR="00021A4D">
        <w:rPr>
          <w:rFonts w:ascii="Arial" w:hAnsi="Arial" w:cs="Arial"/>
          <w:color w:val="000000"/>
        </w:rPr>
        <w:t xml:space="preserve">the </w:t>
      </w:r>
      <w:r>
        <w:rPr>
          <w:rFonts w:ascii="Arial" w:hAnsi="Arial" w:cs="Arial"/>
          <w:color w:val="000000"/>
        </w:rPr>
        <w:t xml:space="preserve">purpose of child resistant packaging, as it is likely to be discarded once the primary package is opened or taken out of the exit packaging.  Given the growing evidence in the pediatric and emergency medicine of more frequent and serious ingestions by children, this proposal makes little sense and will result in a greater number of pediatric ingestions. </w:t>
      </w:r>
      <w:r w:rsidR="003B3F2E">
        <w:rPr>
          <w:rFonts w:ascii="Arial" w:hAnsi="Arial" w:cs="Arial"/>
          <w:color w:val="000000"/>
        </w:rPr>
        <w:t xml:space="preserve"> Child resistant primary packaging should remain the requirement. </w:t>
      </w:r>
      <w:r>
        <w:rPr>
          <w:rFonts w:ascii="Arial" w:hAnsi="Arial" w:cs="Arial"/>
          <w:color w:val="000000"/>
        </w:rPr>
        <w:t xml:space="preserve">See comments on CDPH regulations for full documentation. </w:t>
      </w:r>
    </w:p>
    <w:p w14:paraId="7CB4AF81" w14:textId="31A3CD83" w:rsidR="00021A4D" w:rsidRPr="00846335" w:rsidRDefault="00021A4D" w:rsidP="00846335">
      <w:r w:rsidRPr="00021A4D">
        <w:rPr>
          <w:rFonts w:ascii="Arial" w:hAnsi="Arial" w:cs="Arial"/>
          <w:color w:val="333333"/>
          <w:sz w:val="22"/>
          <w:szCs w:val="22"/>
          <w:shd w:val="clear" w:color="auto" w:fill="FFFFFF"/>
        </w:rPr>
        <w:t>  </w:t>
      </w:r>
    </w:p>
    <w:p w14:paraId="2640B82B" w14:textId="762D3E2E" w:rsidR="00910D35" w:rsidRPr="00910D35" w:rsidRDefault="00F91926" w:rsidP="0050356C">
      <w:pPr>
        <w:pStyle w:val="ListParagraph"/>
        <w:numPr>
          <w:ilvl w:val="0"/>
          <w:numId w:val="7"/>
        </w:numPr>
        <w:spacing w:after="120"/>
        <w:ind w:right="-720"/>
        <w:outlineLvl w:val="0"/>
        <w:rPr>
          <w:rFonts w:ascii="Arial" w:hAnsi="Arial" w:cs="Arial"/>
        </w:rPr>
      </w:pPr>
      <w:r w:rsidRPr="00F91926">
        <w:rPr>
          <w:rFonts w:ascii="Arial" w:hAnsi="Arial" w:cs="Arial"/>
          <w:i/>
        </w:rPr>
        <w:t>§ 5416. Delivery to a Physical Address</w:t>
      </w:r>
    </w:p>
    <w:p w14:paraId="217F69B6" w14:textId="32F2C372" w:rsidR="00F91926" w:rsidRPr="00910D35" w:rsidRDefault="00F91926" w:rsidP="00910D35">
      <w:pPr>
        <w:pStyle w:val="ListParagraph"/>
        <w:numPr>
          <w:ilvl w:val="1"/>
          <w:numId w:val="7"/>
        </w:numPr>
        <w:spacing w:after="120"/>
        <w:ind w:right="-720"/>
        <w:outlineLvl w:val="0"/>
        <w:rPr>
          <w:rFonts w:ascii="Arial" w:hAnsi="Arial" w:cs="Arial"/>
        </w:rPr>
      </w:pPr>
      <w:r w:rsidRPr="00F91926">
        <w:rPr>
          <w:rFonts w:ascii="Arial" w:eastAsia="Times New Roman" w:hAnsi="Arial" w:cs="Arial"/>
          <w:i/>
          <w:color w:val="000000"/>
        </w:rPr>
        <w:t>(a) A delivery employee may only deliver cannabis goods to a physical address in California.</w:t>
      </w:r>
    </w:p>
    <w:p w14:paraId="651E6833" w14:textId="595D381F" w:rsidR="00F91926" w:rsidRDefault="002E4772" w:rsidP="00910D35">
      <w:pPr>
        <w:spacing w:after="120"/>
        <w:ind w:right="-720"/>
        <w:jc w:val="both"/>
        <w:outlineLvl w:val="0"/>
        <w:rPr>
          <w:rFonts w:ascii="Arial" w:hAnsi="Arial" w:cs="Arial"/>
        </w:rPr>
      </w:pPr>
      <w:r w:rsidRPr="00D90F4B">
        <w:rPr>
          <w:rFonts w:ascii="Arial" w:hAnsi="Arial" w:cs="Arial"/>
          <w:b/>
        </w:rPr>
        <w:t>Delivery should not be allowed for recreational cannabis</w:t>
      </w:r>
      <w:r>
        <w:rPr>
          <w:rFonts w:ascii="Arial" w:hAnsi="Arial" w:cs="Arial"/>
        </w:rPr>
        <w:t>.</w:t>
      </w:r>
      <w:r w:rsidR="00E122C2">
        <w:rPr>
          <w:rFonts w:ascii="Arial" w:hAnsi="Arial" w:cs="Arial"/>
        </w:rPr>
        <w:t xml:space="preserve"> </w:t>
      </w:r>
      <w:r w:rsidR="00E122C2" w:rsidRPr="009B4B85">
        <w:rPr>
          <w:rFonts w:ascii="Arial" w:hAnsi="Arial" w:cs="Arial"/>
        </w:rPr>
        <w:t xml:space="preserve">While there are arguments to be made for delivery of medicinal cannabis, delivery of </w:t>
      </w:r>
      <w:r w:rsidR="00E122C2">
        <w:rPr>
          <w:rFonts w:ascii="Arial" w:hAnsi="Arial" w:cs="Arial"/>
        </w:rPr>
        <w:t>adult-use</w:t>
      </w:r>
      <w:r w:rsidR="00E122C2" w:rsidRPr="009B4B85">
        <w:rPr>
          <w:rFonts w:ascii="Arial" w:hAnsi="Arial" w:cs="Arial"/>
        </w:rPr>
        <w:t xml:space="preserve"> cannabis simply facilitates consumption. </w:t>
      </w:r>
      <w:r w:rsidR="00E122C2" w:rsidRPr="00E122C2">
        <w:rPr>
          <w:rFonts w:ascii="Arial" w:hAnsi="Arial" w:cs="Arial"/>
        </w:rPr>
        <w:t>Home delivery of alcohol has been found to increase youth consumption. It should simply not be permitted.</w:t>
      </w:r>
      <w:r w:rsidR="00E122C2" w:rsidRPr="00E122C2">
        <w:rPr>
          <w:rFonts w:ascii="Arial" w:hAnsi="Arial" w:cs="Arial"/>
          <w:bCs/>
          <w:vertAlign w:val="superscript"/>
        </w:rPr>
        <w:footnoteReference w:id="60"/>
      </w:r>
      <w:r w:rsidR="00E122C2">
        <w:rPr>
          <w:rFonts w:ascii="Arial" w:hAnsi="Arial" w:cs="Arial"/>
          <w:bCs/>
          <w:vertAlign w:val="superscript"/>
        </w:rPr>
        <w:t>,</w:t>
      </w:r>
      <w:r w:rsidR="00E122C2" w:rsidRPr="00E122C2">
        <w:rPr>
          <w:rFonts w:ascii="Arial" w:hAnsi="Arial" w:cs="Arial"/>
          <w:bCs/>
          <w:vertAlign w:val="superscript"/>
        </w:rPr>
        <w:footnoteReference w:id="61"/>
      </w:r>
      <w:r>
        <w:rPr>
          <w:rFonts w:ascii="Arial" w:hAnsi="Arial" w:cs="Arial"/>
        </w:rPr>
        <w:t xml:space="preserve"> If it is allowed, it </w:t>
      </w:r>
      <w:r w:rsidR="00F91926">
        <w:rPr>
          <w:rFonts w:ascii="Arial" w:hAnsi="Arial" w:cs="Arial"/>
        </w:rPr>
        <w:t>should only be allowed to residential addresses. Delivery to workplaces should not be allowed in general. If delivery to non-residential addresses is permitted despite this recommendation, delivery to youth serving institutions including schools, day care centers, libraries, community colleges, universities or within 50</w:t>
      </w:r>
      <w:r w:rsidR="00635516">
        <w:rPr>
          <w:rFonts w:ascii="Arial" w:hAnsi="Arial" w:cs="Arial"/>
        </w:rPr>
        <w:t xml:space="preserve"> </w:t>
      </w:r>
      <w:r w:rsidR="00F91926">
        <w:rPr>
          <w:rFonts w:ascii="Arial" w:hAnsi="Arial" w:cs="Arial"/>
        </w:rPr>
        <w:t>feet of their entryways should not be allowed.</w:t>
      </w:r>
      <w:r w:rsidR="007951C0">
        <w:rPr>
          <w:rFonts w:ascii="Arial" w:hAnsi="Arial" w:cs="Arial"/>
        </w:rPr>
        <w:t xml:space="preserve"> Within residential addresses, delivery</w:t>
      </w:r>
      <w:r w:rsidR="00F91926">
        <w:rPr>
          <w:rFonts w:ascii="Arial" w:hAnsi="Arial" w:cs="Arial"/>
        </w:rPr>
        <w:t xml:space="preserve"> to college dormitories or other student residential facilities where youth under age 21 typically reside should not be allowed.</w:t>
      </w:r>
      <w:r w:rsidR="007951C0">
        <w:rPr>
          <w:rFonts w:ascii="Arial" w:hAnsi="Arial" w:cs="Arial"/>
        </w:rPr>
        <w:t xml:space="preserve"> The</w:t>
      </w:r>
      <w:r w:rsidR="00273C21">
        <w:rPr>
          <w:rFonts w:ascii="Arial" w:hAnsi="Arial" w:cs="Arial"/>
        </w:rPr>
        <w:t xml:space="preserve"> BCC proposed</w:t>
      </w:r>
      <w:r w:rsidR="00635516">
        <w:rPr>
          <w:rFonts w:ascii="Arial" w:hAnsi="Arial" w:cs="Arial"/>
        </w:rPr>
        <w:t xml:space="preserve"> </w:t>
      </w:r>
      <w:r w:rsidR="007951C0">
        <w:rPr>
          <w:rFonts w:ascii="Arial" w:hAnsi="Arial" w:cs="Arial"/>
        </w:rPr>
        <w:t xml:space="preserve">regulations as written would facilitate, for example, the delivery of half a pound of flower per day to a </w:t>
      </w:r>
      <w:proofErr w:type="gramStart"/>
      <w:r w:rsidR="007951C0">
        <w:rPr>
          <w:rFonts w:ascii="Arial" w:hAnsi="Arial" w:cs="Arial"/>
        </w:rPr>
        <w:t>19 year old</w:t>
      </w:r>
      <w:proofErr w:type="gramEnd"/>
      <w:r w:rsidR="007951C0">
        <w:rPr>
          <w:rFonts w:ascii="Arial" w:hAnsi="Arial" w:cs="Arial"/>
        </w:rPr>
        <w:t xml:space="preserve"> in a college dormitory with a medicinal card, who could then easily turn around and sell the excessive quantity illegally. </w:t>
      </w:r>
    </w:p>
    <w:p w14:paraId="386647FE" w14:textId="77777777" w:rsidR="00910D35" w:rsidRPr="00910D35" w:rsidRDefault="00910D35" w:rsidP="00910D35">
      <w:pPr>
        <w:spacing w:after="120"/>
        <w:ind w:right="-720"/>
        <w:jc w:val="both"/>
        <w:outlineLvl w:val="0"/>
        <w:rPr>
          <w:rFonts w:ascii="Arial" w:hAnsi="Arial" w:cs="Arial"/>
        </w:rPr>
      </w:pPr>
    </w:p>
    <w:p w14:paraId="6BC3E71E" w14:textId="2D539BCB" w:rsidR="002A559B" w:rsidRPr="00465A6E" w:rsidRDefault="0054635B" w:rsidP="00FB492E">
      <w:pPr>
        <w:pStyle w:val="ListParagraph"/>
        <w:numPr>
          <w:ilvl w:val="0"/>
          <w:numId w:val="7"/>
        </w:numPr>
        <w:spacing w:after="120"/>
        <w:ind w:right="-720"/>
        <w:outlineLvl w:val="0"/>
        <w:rPr>
          <w:rFonts w:ascii="Arial" w:hAnsi="Arial" w:cs="Arial"/>
          <w:b/>
          <w:i/>
        </w:rPr>
      </w:pPr>
      <w:r w:rsidRPr="00465A6E">
        <w:rPr>
          <w:rFonts w:ascii="Arial" w:hAnsi="Arial" w:cs="Arial"/>
          <w:i/>
        </w:rPr>
        <w:t>§ 5416</w:t>
      </w:r>
      <w:r w:rsidR="00465A6E" w:rsidRPr="00465A6E">
        <w:rPr>
          <w:rFonts w:ascii="Arial" w:hAnsi="Arial" w:cs="Arial"/>
          <w:i/>
        </w:rPr>
        <w:t>. Delivery to a Physical Address</w:t>
      </w:r>
      <w:r w:rsidR="00465A6E" w:rsidRPr="00465A6E">
        <w:rPr>
          <w:rFonts w:ascii="Arial" w:hAnsi="Arial" w:cs="Arial"/>
          <w:b/>
          <w:i/>
        </w:rPr>
        <w:t xml:space="preserve"> </w:t>
      </w:r>
      <w:r w:rsidR="00465A6E" w:rsidRPr="00465A6E">
        <w:rPr>
          <w:rFonts w:ascii="Arial" w:eastAsia="Times New Roman" w:hAnsi="Arial" w:cs="Arial"/>
          <w:i/>
          <w:color w:val="000000"/>
        </w:rPr>
        <w:t>(d): A delivery employee may deliver to any jurisdiction within the State of California.</w:t>
      </w:r>
    </w:p>
    <w:p w14:paraId="1A2460D4" w14:textId="17393EED" w:rsidR="002A559B" w:rsidRPr="005F2995" w:rsidRDefault="002A559B" w:rsidP="00AD7828">
      <w:pPr>
        <w:shd w:val="clear" w:color="auto" w:fill="FFFFFF"/>
        <w:spacing w:after="120"/>
        <w:ind w:right="-720"/>
        <w:jc w:val="both"/>
        <w:rPr>
          <w:rFonts w:ascii="Arial" w:hAnsi="Arial" w:cs="Arial"/>
        </w:rPr>
      </w:pPr>
      <w:r w:rsidRPr="005F2995">
        <w:rPr>
          <w:rFonts w:ascii="Arial" w:hAnsi="Arial" w:cs="Arial"/>
        </w:rPr>
        <w:t xml:space="preserve">Proposed Regulation §5416(d) is </w:t>
      </w:r>
      <w:r w:rsidR="00273C21">
        <w:rPr>
          <w:rFonts w:ascii="Arial" w:hAnsi="Arial" w:cs="Arial"/>
        </w:rPr>
        <w:t xml:space="preserve">highly </w:t>
      </w:r>
      <w:r w:rsidRPr="005F2995">
        <w:rPr>
          <w:rFonts w:ascii="Arial" w:hAnsi="Arial" w:cs="Arial"/>
        </w:rPr>
        <w:t>problematic and appears to be in violation of state law</w:t>
      </w:r>
      <w:r w:rsidR="00FA14BF">
        <w:rPr>
          <w:rFonts w:ascii="Arial" w:hAnsi="Arial" w:cs="Arial"/>
        </w:rPr>
        <w:t xml:space="preserve"> and of the</w:t>
      </w:r>
      <w:r w:rsidR="00635516">
        <w:rPr>
          <w:rFonts w:ascii="Arial" w:hAnsi="Arial" w:cs="Arial"/>
        </w:rPr>
        <w:t xml:space="preserve"> </w:t>
      </w:r>
      <w:r w:rsidR="00FA14BF">
        <w:rPr>
          <w:rFonts w:ascii="Arial" w:hAnsi="Arial" w:cs="Arial"/>
        </w:rPr>
        <w:t xml:space="preserve">clear intent </w:t>
      </w:r>
      <w:r w:rsidR="009D7074">
        <w:rPr>
          <w:rFonts w:ascii="Arial" w:hAnsi="Arial" w:cs="Arial"/>
        </w:rPr>
        <w:t xml:space="preserve">of the voters </w:t>
      </w:r>
      <w:r w:rsidR="00FA14BF">
        <w:rPr>
          <w:rFonts w:ascii="Arial" w:hAnsi="Arial" w:cs="Arial"/>
        </w:rPr>
        <w:t>to preserve local decision-making authority that was a central tenet of Proposition 64.</w:t>
      </w:r>
      <w:r w:rsidR="00635516">
        <w:rPr>
          <w:rFonts w:ascii="Arial" w:hAnsi="Arial" w:cs="Arial"/>
        </w:rPr>
        <w:t xml:space="preserve"> </w:t>
      </w:r>
      <w:r w:rsidR="00465A6E" w:rsidRPr="005F2995">
        <w:rPr>
          <w:rFonts w:ascii="Arial" w:hAnsi="Arial" w:cs="Arial"/>
        </w:rPr>
        <w:t>The language</w:t>
      </w:r>
      <w:r w:rsidRPr="005F2995">
        <w:rPr>
          <w:rFonts w:ascii="Arial" w:hAnsi="Arial" w:cs="Arial"/>
        </w:rPr>
        <w:t xml:space="preserve"> </w:t>
      </w:r>
      <w:r w:rsidR="009D7074">
        <w:rPr>
          <w:rFonts w:ascii="Arial" w:hAnsi="Arial" w:cs="Arial"/>
        </w:rPr>
        <w:t>suggests</w:t>
      </w:r>
      <w:r w:rsidRPr="005F2995">
        <w:rPr>
          <w:rFonts w:ascii="Arial" w:hAnsi="Arial" w:cs="Arial"/>
        </w:rPr>
        <w:t xml:space="preserve"> that a local jurisdiction is no longer able to prohibit the delivery of cannabis in violation of the clear wording of state law.</w:t>
      </w:r>
      <w:r w:rsidR="00635516">
        <w:rPr>
          <w:rFonts w:ascii="Arial" w:hAnsi="Arial" w:cs="Arial"/>
        </w:rPr>
        <w:t xml:space="preserve"> </w:t>
      </w:r>
    </w:p>
    <w:p w14:paraId="16A8FE63" w14:textId="241D2014" w:rsidR="002A559B" w:rsidRPr="005F2995" w:rsidRDefault="002A559B" w:rsidP="001927FE">
      <w:pPr>
        <w:shd w:val="clear" w:color="auto" w:fill="FFFFFF"/>
        <w:spacing w:after="120"/>
        <w:jc w:val="both"/>
        <w:rPr>
          <w:rFonts w:ascii="Arial" w:hAnsi="Arial" w:cs="Arial"/>
        </w:rPr>
      </w:pPr>
      <w:r w:rsidRPr="005F2995">
        <w:rPr>
          <w:rFonts w:ascii="Arial" w:hAnsi="Arial" w:cs="Arial"/>
        </w:rPr>
        <w:t xml:space="preserve">Cal. &amp; Prof. Bus. Code §26200(a)(1) states: </w:t>
      </w:r>
    </w:p>
    <w:p w14:paraId="1B76160B" w14:textId="6FD886B8" w:rsidR="002A559B" w:rsidRPr="005F2995" w:rsidRDefault="002A559B" w:rsidP="001927FE">
      <w:pPr>
        <w:shd w:val="clear" w:color="auto" w:fill="FFFFFF"/>
        <w:spacing w:after="120"/>
        <w:ind w:left="720"/>
        <w:jc w:val="both"/>
        <w:rPr>
          <w:rFonts w:ascii="Arial" w:hAnsi="Arial" w:cs="Arial"/>
          <w:shd w:val="clear" w:color="auto" w:fill="FFFFFF"/>
        </w:rPr>
      </w:pPr>
      <w:r w:rsidRPr="005F2995">
        <w:rPr>
          <w:rFonts w:ascii="Arial" w:hAnsi="Arial" w:cs="Arial"/>
          <w:shd w:val="clear" w:color="auto" w:fill="FFFFFF"/>
        </w:rPr>
        <w:t xml:space="preserve">This division shall not be interpreted to supersede or limit the authority of a local jurisdiction to adopt and enforce local ordinances to regulate businesses licensed under </w:t>
      </w:r>
      <w:r w:rsidR="007861C0" w:rsidRPr="005F2995">
        <w:rPr>
          <w:rFonts w:ascii="Arial" w:hAnsi="Arial" w:cs="Arial"/>
          <w:shd w:val="clear" w:color="auto" w:fill="FFFFFF"/>
        </w:rPr>
        <w:t>t</w:t>
      </w:r>
      <w:r w:rsidRPr="005F2995">
        <w:rPr>
          <w:rFonts w:ascii="Arial" w:hAnsi="Arial" w:cs="Arial"/>
          <w:shd w:val="clear" w:color="auto" w:fill="FFFFFF"/>
        </w:rPr>
        <w:t xml:space="preserve">his division, including, but not limited to, local zoning and land use requirements, business license requirements, and requirements related to reducing exposure to secondhand smoke, or </w:t>
      </w:r>
      <w:r w:rsidRPr="00D90F4B">
        <w:rPr>
          <w:rFonts w:ascii="Arial" w:hAnsi="Arial" w:cs="Arial"/>
          <w:b/>
          <w:shd w:val="clear" w:color="auto" w:fill="FFFFFF"/>
        </w:rPr>
        <w:t>to completely prohibit the establishment </w:t>
      </w:r>
      <w:r w:rsidRPr="00D90F4B">
        <w:rPr>
          <w:rFonts w:ascii="Arial" w:hAnsi="Arial" w:cs="Arial"/>
          <w:b/>
          <w:bCs/>
          <w:shd w:val="clear" w:color="auto" w:fill="FFFFFF"/>
        </w:rPr>
        <w:t>or o</w:t>
      </w:r>
      <w:r w:rsidRPr="005F2995">
        <w:rPr>
          <w:rFonts w:ascii="Arial" w:hAnsi="Arial" w:cs="Arial"/>
          <w:b/>
          <w:bCs/>
          <w:shd w:val="clear" w:color="auto" w:fill="FFFFFF"/>
        </w:rPr>
        <w:t>peration of one or more</w:t>
      </w:r>
      <w:r w:rsidR="007861C0" w:rsidRPr="005F2995">
        <w:rPr>
          <w:rFonts w:ascii="Arial" w:hAnsi="Arial" w:cs="Arial"/>
          <w:b/>
          <w:bCs/>
          <w:shd w:val="clear" w:color="auto" w:fill="FFFFFF"/>
        </w:rPr>
        <w:t xml:space="preserve"> </w:t>
      </w:r>
      <w:r w:rsidRPr="005F2995">
        <w:rPr>
          <w:rFonts w:ascii="Arial" w:hAnsi="Arial" w:cs="Arial"/>
          <w:b/>
          <w:bCs/>
          <w:shd w:val="clear" w:color="auto" w:fill="FFFFFF"/>
        </w:rPr>
        <w:t>types of businesses licensed under this division within the local jurisdiction.</w:t>
      </w:r>
      <w:r w:rsidR="007861C0" w:rsidRPr="005F2995">
        <w:rPr>
          <w:rFonts w:ascii="Arial" w:hAnsi="Arial" w:cs="Arial"/>
          <w:b/>
          <w:bCs/>
          <w:shd w:val="clear" w:color="auto" w:fill="FFFFFF"/>
        </w:rPr>
        <w:t xml:space="preserve"> </w:t>
      </w:r>
      <w:r w:rsidRPr="005F2995">
        <w:rPr>
          <w:rFonts w:ascii="Arial" w:hAnsi="Arial" w:cs="Arial"/>
          <w:shd w:val="clear" w:color="auto" w:fill="FFFFFF"/>
        </w:rPr>
        <w:t>(emphasis added).</w:t>
      </w:r>
    </w:p>
    <w:p w14:paraId="3CCA9D3A" w14:textId="0FB2818E" w:rsidR="002A559B" w:rsidRPr="005F2995" w:rsidRDefault="002A559B" w:rsidP="00AD7828">
      <w:pPr>
        <w:shd w:val="clear" w:color="auto" w:fill="FFFFFF"/>
        <w:spacing w:after="120"/>
        <w:ind w:right="-720"/>
        <w:jc w:val="both"/>
        <w:rPr>
          <w:rFonts w:ascii="Arial" w:hAnsi="Arial" w:cs="Arial"/>
        </w:rPr>
      </w:pPr>
      <w:r w:rsidRPr="005F2995">
        <w:rPr>
          <w:rFonts w:ascii="Arial" w:hAnsi="Arial" w:cs="Arial"/>
          <w:shd w:val="clear" w:color="auto" w:fill="FFFFFF"/>
        </w:rPr>
        <w:t xml:space="preserve">Clearly, state law leaves it up to local jurisdictions to regulate cannabis businesses and </w:t>
      </w:r>
      <w:r w:rsidR="009D7074">
        <w:rPr>
          <w:rFonts w:ascii="Arial" w:hAnsi="Arial" w:cs="Arial"/>
          <w:shd w:val="clear" w:color="auto" w:fill="FFFFFF"/>
        </w:rPr>
        <w:t xml:space="preserve">assures the authority </w:t>
      </w:r>
      <w:r w:rsidRPr="005F2995">
        <w:rPr>
          <w:rFonts w:ascii="Arial" w:hAnsi="Arial" w:cs="Arial"/>
          <w:shd w:val="clear" w:color="auto" w:fill="FFFFFF"/>
        </w:rPr>
        <w:t>to</w:t>
      </w:r>
      <w:r w:rsidR="009D7074">
        <w:rPr>
          <w:rFonts w:ascii="Arial" w:hAnsi="Arial" w:cs="Arial"/>
          <w:shd w:val="clear" w:color="auto" w:fill="FFFFFF"/>
        </w:rPr>
        <w:t xml:space="preserve"> </w:t>
      </w:r>
      <w:r w:rsidR="009D7074">
        <w:rPr>
          <w:rFonts w:ascii="Arial" w:hAnsi="Arial" w:cs="Arial"/>
        </w:rPr>
        <w:t>not only completely prohibit “establishment” of a licensed business, but also the authority to prohibit its “operation</w:t>
      </w:r>
      <w:r w:rsidR="009F105E">
        <w:rPr>
          <w:rFonts w:ascii="Arial" w:hAnsi="Arial" w:cs="Arial"/>
        </w:rPr>
        <w:t>,</w:t>
      </w:r>
      <w:r w:rsidR="009D7074">
        <w:rPr>
          <w:rFonts w:ascii="Arial" w:hAnsi="Arial" w:cs="Arial"/>
        </w:rPr>
        <w:t>” which would address the operation even of a business licensed in another jurisdiction.</w:t>
      </w:r>
      <w:r w:rsidR="009A72F8" w:rsidRPr="005F2995">
        <w:rPr>
          <w:rFonts w:ascii="Arial" w:hAnsi="Arial" w:cs="Arial"/>
          <w:shd w:val="clear" w:color="auto" w:fill="FFFFFF"/>
        </w:rPr>
        <w:t xml:space="preserve"> </w:t>
      </w:r>
      <w:r w:rsidRPr="005F2995">
        <w:rPr>
          <w:rFonts w:ascii="Arial" w:hAnsi="Arial" w:cs="Arial"/>
          <w:shd w:val="clear" w:color="auto" w:fill="FFFFFF"/>
        </w:rPr>
        <w:t xml:space="preserve">Delivery of cannabis is a type of cannabis business </w:t>
      </w:r>
      <w:r w:rsidR="009D7074">
        <w:rPr>
          <w:rFonts w:ascii="Arial" w:hAnsi="Arial" w:cs="Arial"/>
          <w:shd w:val="clear" w:color="auto" w:fill="FFFFFF"/>
        </w:rPr>
        <w:t xml:space="preserve">operation </w:t>
      </w:r>
      <w:r w:rsidRPr="005F2995">
        <w:rPr>
          <w:rFonts w:ascii="Arial" w:hAnsi="Arial" w:cs="Arial"/>
          <w:shd w:val="clear" w:color="auto" w:fill="FFFFFF"/>
        </w:rPr>
        <w:t>authorized under state law and which can be completely prohibited at the local level.</w:t>
      </w:r>
      <w:r w:rsidR="009A72F8" w:rsidRPr="005F2995">
        <w:rPr>
          <w:rFonts w:ascii="Arial" w:hAnsi="Arial" w:cs="Arial"/>
          <w:shd w:val="clear" w:color="auto" w:fill="FFFFFF"/>
        </w:rPr>
        <w:t xml:space="preserve"> </w:t>
      </w:r>
      <w:r w:rsidRPr="005F2995">
        <w:rPr>
          <w:rFonts w:ascii="Arial" w:hAnsi="Arial" w:cs="Arial"/>
          <w:shd w:val="clear" w:color="auto" w:fill="FFFFFF"/>
        </w:rPr>
        <w:t xml:space="preserve">Proposed section 5416(d) strips local jurisdictions of the authority to </w:t>
      </w:r>
      <w:r w:rsidR="00FA14BF">
        <w:rPr>
          <w:rFonts w:ascii="Arial" w:hAnsi="Arial" w:cs="Arial"/>
          <w:shd w:val="clear" w:color="auto" w:fill="FFFFFF"/>
        </w:rPr>
        <w:t>block the commercial sale of</w:t>
      </w:r>
      <w:r w:rsidR="00FA14BF" w:rsidRPr="005F2995">
        <w:rPr>
          <w:rFonts w:ascii="Arial" w:hAnsi="Arial" w:cs="Arial"/>
          <w:shd w:val="clear" w:color="auto" w:fill="FFFFFF"/>
        </w:rPr>
        <w:t xml:space="preserve"> </w:t>
      </w:r>
      <w:r w:rsidRPr="005F2995">
        <w:rPr>
          <w:rFonts w:ascii="Arial" w:hAnsi="Arial" w:cs="Arial"/>
          <w:shd w:val="clear" w:color="auto" w:fill="FFFFFF"/>
        </w:rPr>
        <w:t>cannabis</w:t>
      </w:r>
      <w:r w:rsidR="00FA14BF">
        <w:rPr>
          <w:rFonts w:ascii="Arial" w:hAnsi="Arial" w:cs="Arial"/>
          <w:shd w:val="clear" w:color="auto" w:fill="FFFFFF"/>
        </w:rPr>
        <w:t xml:space="preserve"> to locations within their jurisdictions, in clear violation of the expressed will of California voters.</w:t>
      </w:r>
      <w:r w:rsidR="009A72F8" w:rsidRPr="005F2995">
        <w:rPr>
          <w:rFonts w:ascii="Arial" w:hAnsi="Arial" w:cs="Arial"/>
          <w:shd w:val="clear" w:color="auto" w:fill="FFFFFF"/>
        </w:rPr>
        <w:t xml:space="preserve"> </w:t>
      </w:r>
      <w:r w:rsidR="009F105E">
        <w:rPr>
          <w:rFonts w:ascii="Arial" w:hAnsi="Arial" w:cs="Arial"/>
          <w:shd w:val="clear" w:color="auto" w:fill="FFFFFF"/>
        </w:rPr>
        <w:t>In brief, Proposition 64 provides that “[</w:t>
      </w:r>
      <w:proofErr w:type="spellStart"/>
      <w:r w:rsidR="009F105E">
        <w:rPr>
          <w:rFonts w:ascii="Arial" w:hAnsi="Arial" w:cs="Arial"/>
          <w:shd w:val="clear" w:color="auto" w:fill="FFFFFF"/>
        </w:rPr>
        <w:t>i</w:t>
      </w:r>
      <w:proofErr w:type="spellEnd"/>
      <w:r w:rsidR="009F105E">
        <w:rPr>
          <w:rFonts w:ascii="Arial" w:hAnsi="Arial" w:cs="Arial"/>
          <w:shd w:val="clear" w:color="auto" w:fill="FFFFFF"/>
        </w:rPr>
        <w:t>]t is the intent of the People in enacting this Act to…[a]</w:t>
      </w:r>
      <w:proofErr w:type="spellStart"/>
      <w:r w:rsidR="009F105E">
        <w:rPr>
          <w:rFonts w:ascii="Arial" w:hAnsi="Arial" w:cs="Arial"/>
          <w:shd w:val="clear" w:color="auto" w:fill="FFFFFF"/>
        </w:rPr>
        <w:t>llow</w:t>
      </w:r>
      <w:proofErr w:type="spellEnd"/>
      <w:r w:rsidR="009F105E">
        <w:rPr>
          <w:rFonts w:ascii="Arial" w:hAnsi="Arial" w:cs="Arial"/>
          <w:shd w:val="clear" w:color="auto" w:fill="FFFFFF"/>
        </w:rPr>
        <w:t xml:space="preserve"> local governments to ban nonmedical businesses…”</w:t>
      </w:r>
      <w:r w:rsidR="009F105E">
        <w:rPr>
          <w:rStyle w:val="FootnoteReference"/>
          <w:rFonts w:ascii="Arial" w:hAnsi="Arial" w:cs="Arial"/>
          <w:shd w:val="clear" w:color="auto" w:fill="FFFFFF"/>
        </w:rPr>
        <w:footnoteReference w:id="62"/>
      </w:r>
    </w:p>
    <w:p w14:paraId="1838266C" w14:textId="6D81FD2A" w:rsidR="002A559B" w:rsidRPr="005F2995" w:rsidRDefault="002A559B" w:rsidP="00AD7828">
      <w:pPr>
        <w:spacing w:after="120"/>
        <w:ind w:right="-720"/>
        <w:jc w:val="both"/>
        <w:rPr>
          <w:rFonts w:ascii="Arial" w:hAnsi="Arial" w:cs="Arial"/>
        </w:rPr>
      </w:pPr>
      <w:r w:rsidRPr="005F2995">
        <w:rPr>
          <w:rFonts w:ascii="Arial" w:hAnsi="Arial" w:cs="Arial"/>
        </w:rPr>
        <w:t>Our concerns about this interpretation are well-founded. News media is reporting that the new regulations mean local jurisdictions can no longer prohibit delivery. In an article in The Mercury News (July 14, 2018)</w:t>
      </w:r>
      <w:r w:rsidRPr="005F2995">
        <w:rPr>
          <w:rStyle w:val="FootnoteReference"/>
          <w:rFonts w:ascii="Arial" w:hAnsi="Arial" w:cs="Arial"/>
        </w:rPr>
        <w:footnoteReference w:id="63"/>
      </w:r>
      <w:r w:rsidRPr="005F2995">
        <w:rPr>
          <w:rFonts w:ascii="Arial" w:hAnsi="Arial" w:cs="Arial"/>
        </w:rPr>
        <w:t xml:space="preserve"> it stated: “Cannabis retailers soon may be able to deliver </w:t>
      </w:r>
      <w:r w:rsidR="00847481">
        <w:rPr>
          <w:rFonts w:ascii="Arial" w:hAnsi="Arial" w:cs="Arial"/>
        </w:rPr>
        <w:t>cannabis</w:t>
      </w:r>
      <w:r w:rsidRPr="005F2995">
        <w:rPr>
          <w:rFonts w:ascii="Arial" w:hAnsi="Arial" w:cs="Arial"/>
        </w:rPr>
        <w:t xml:space="preserve"> anywhere in California, </w:t>
      </w:r>
      <w:r w:rsidRPr="005F2995">
        <w:rPr>
          <w:rFonts w:ascii="Arial" w:hAnsi="Arial" w:cs="Arial"/>
          <w:b/>
        </w:rPr>
        <w:t>no matter what city or county rules say.</w:t>
      </w:r>
      <w:r w:rsidR="009A72F8" w:rsidRPr="005F2995">
        <w:rPr>
          <w:rFonts w:ascii="Arial" w:hAnsi="Arial" w:cs="Arial"/>
          <w:b/>
        </w:rPr>
        <w:t xml:space="preserve"> </w:t>
      </w:r>
      <w:r w:rsidRPr="005F2995">
        <w:rPr>
          <w:rFonts w:ascii="Arial" w:hAnsi="Arial" w:cs="Arial"/>
        </w:rPr>
        <w:t>Industry representatives are also interpreting this regulation as a major expansion in cannabis access, stating: “Given that most California cities still don’t allow retail cannabis sales, any expansion of delivery services figures to make cannabis more accessible to more people.”</w:t>
      </w:r>
    </w:p>
    <w:p w14:paraId="1397A24A" w14:textId="24963955" w:rsidR="002A559B" w:rsidRPr="005F2995" w:rsidRDefault="002A559B" w:rsidP="00AD7828">
      <w:pPr>
        <w:spacing w:after="120"/>
        <w:ind w:right="-720"/>
        <w:jc w:val="both"/>
        <w:rPr>
          <w:rFonts w:ascii="Arial" w:hAnsi="Arial" w:cs="Arial"/>
        </w:rPr>
      </w:pPr>
      <w:r w:rsidRPr="005F2995">
        <w:rPr>
          <w:rFonts w:ascii="Arial" w:hAnsi="Arial" w:cs="Arial"/>
        </w:rPr>
        <w:t xml:space="preserve">California law is clear that though </w:t>
      </w:r>
      <w:r w:rsidRPr="005F2995">
        <w:rPr>
          <w:rFonts w:ascii="Arial" w:hAnsi="Arial" w:cs="Arial"/>
          <w:shd w:val="clear" w:color="auto" w:fill="FFFFFF"/>
        </w:rPr>
        <w:t>entitled to deference when constructing regulations, an agency cannot alter or amend a statute or issue regulations that plainly conflict with the statute. Government Code §</w:t>
      </w:r>
      <w:r w:rsidRPr="005F2995">
        <w:rPr>
          <w:rFonts w:ascii="Arial" w:hAnsi="Arial" w:cs="Arial"/>
        </w:rPr>
        <w:t xml:space="preserve">11342 provides: </w:t>
      </w:r>
    </w:p>
    <w:p w14:paraId="2C71B9F5" w14:textId="1F76706B" w:rsidR="002A559B" w:rsidRPr="005F2995" w:rsidRDefault="002A559B" w:rsidP="001927FE">
      <w:pPr>
        <w:spacing w:after="120"/>
        <w:ind w:left="720"/>
        <w:jc w:val="both"/>
        <w:rPr>
          <w:rFonts w:ascii="Arial" w:hAnsi="Arial" w:cs="Arial"/>
        </w:rPr>
      </w:pPr>
      <w:r w:rsidRPr="005F2995">
        <w:rPr>
          <w:rFonts w:ascii="Arial" w:hAnsi="Arial" w:cs="Arial"/>
        </w:rPr>
        <w:t>Whenever by the express or implied terms of any statute a</w:t>
      </w:r>
      <w:r w:rsidR="0054635B" w:rsidRPr="005F2995">
        <w:rPr>
          <w:rFonts w:ascii="Arial" w:hAnsi="Arial" w:cs="Arial"/>
        </w:rPr>
        <w:t xml:space="preserve"> state agency has authority to </w:t>
      </w:r>
      <w:r w:rsidRPr="005F2995">
        <w:rPr>
          <w:rFonts w:ascii="Arial" w:hAnsi="Arial" w:cs="Arial"/>
        </w:rPr>
        <w:t>adopt regulations to implement, interpret, make specific or otherwise carry out the provisions of the statute, no regulation adopted is valid or effective unless consistent and not in conflict with the statute and reasonably necessary to effectuate the purpose of the statute</w:t>
      </w:r>
    </w:p>
    <w:p w14:paraId="397F005E" w14:textId="0231F444" w:rsidR="002A559B" w:rsidRPr="005F2995" w:rsidRDefault="002A559B" w:rsidP="00AD7828">
      <w:pPr>
        <w:spacing w:after="120"/>
        <w:ind w:right="-720"/>
        <w:jc w:val="both"/>
        <w:rPr>
          <w:rFonts w:ascii="Arial" w:hAnsi="Arial" w:cs="Arial"/>
          <w:shd w:val="clear" w:color="auto" w:fill="FFFFFF"/>
        </w:rPr>
      </w:pPr>
      <w:r w:rsidRPr="005F2995">
        <w:rPr>
          <w:rFonts w:ascii="Arial" w:hAnsi="Arial" w:cs="Arial"/>
          <w:shd w:val="clear" w:color="auto" w:fill="FFFFFF"/>
        </w:rPr>
        <w:lastRenderedPageBreak/>
        <w:t>The plain language of the state law gives local jurisdictions the authority to prohibit any type of cannabis business.</w:t>
      </w:r>
      <w:r w:rsidR="009A72F8" w:rsidRPr="005F2995">
        <w:rPr>
          <w:rFonts w:ascii="Arial" w:hAnsi="Arial" w:cs="Arial"/>
          <w:shd w:val="clear" w:color="auto" w:fill="FFFFFF"/>
        </w:rPr>
        <w:t xml:space="preserve"> </w:t>
      </w:r>
    </w:p>
    <w:p w14:paraId="5766BA09" w14:textId="6089DFED" w:rsidR="002A559B" w:rsidRPr="005F2995" w:rsidRDefault="002A559B" w:rsidP="00AD7828">
      <w:pPr>
        <w:spacing w:after="120"/>
        <w:ind w:right="-720"/>
        <w:jc w:val="both"/>
        <w:rPr>
          <w:rFonts w:ascii="Arial" w:hAnsi="Arial" w:cs="Arial"/>
          <w:u w:val="single"/>
        </w:rPr>
      </w:pPr>
      <w:r w:rsidRPr="005F2995">
        <w:rPr>
          <w:rFonts w:ascii="Arial" w:hAnsi="Arial" w:cs="Arial"/>
          <w:shd w:val="clear" w:color="auto" w:fill="FFFFFF"/>
        </w:rPr>
        <w:t xml:space="preserve">In </w:t>
      </w:r>
      <w:r w:rsidRPr="005F2995">
        <w:rPr>
          <w:rFonts w:ascii="Arial" w:hAnsi="Arial" w:cs="Arial"/>
          <w:u w:val="single"/>
          <w:shd w:val="clear" w:color="auto" w:fill="FFFFFF"/>
        </w:rPr>
        <w:t>City of San Jose v. Department of Health Services,</w:t>
      </w:r>
      <w:r w:rsidRPr="005F2995">
        <w:rPr>
          <w:rFonts w:ascii="Arial" w:hAnsi="Arial" w:cs="Arial"/>
          <w:shd w:val="clear" w:color="auto" w:fill="FFFFFF"/>
        </w:rPr>
        <w:t xml:space="preserve"> 66 Cal. App. 4</w:t>
      </w:r>
      <w:r w:rsidRPr="005F2995">
        <w:rPr>
          <w:rFonts w:ascii="Arial" w:hAnsi="Arial" w:cs="Arial"/>
          <w:shd w:val="clear" w:color="auto" w:fill="FFFFFF"/>
          <w:vertAlign w:val="superscript"/>
        </w:rPr>
        <w:t>th</w:t>
      </w:r>
      <w:r w:rsidRPr="005F2995">
        <w:rPr>
          <w:rFonts w:ascii="Arial" w:hAnsi="Arial" w:cs="Arial"/>
          <w:shd w:val="clear" w:color="auto" w:fill="FFFFFF"/>
        </w:rPr>
        <w:t xml:space="preserve"> 35 (6</w:t>
      </w:r>
      <w:r w:rsidRPr="005F2995">
        <w:rPr>
          <w:rFonts w:ascii="Arial" w:hAnsi="Arial" w:cs="Arial"/>
          <w:shd w:val="clear" w:color="auto" w:fill="FFFFFF"/>
          <w:vertAlign w:val="superscript"/>
        </w:rPr>
        <w:t>th</w:t>
      </w:r>
      <w:r w:rsidRPr="005F2995">
        <w:rPr>
          <w:rFonts w:ascii="Arial" w:hAnsi="Arial" w:cs="Arial"/>
          <w:shd w:val="clear" w:color="auto" w:fill="FFFFFF"/>
        </w:rPr>
        <w:t xml:space="preserve"> Dist. 1998), the court was asked to determine whether a local jurisdiction could put tighter restrictions on smoking in public places than appeared in state law. In determining that the local jurisdiction’s authority was not preempted by state law, the court looked at the language in the state statute which expressly authorized “local agencies to ‘ban completely the smoking of tobacco’ in any manner not inconsistent with the law.” </w:t>
      </w:r>
      <w:r w:rsidRPr="005F2995">
        <w:rPr>
          <w:rFonts w:ascii="Arial" w:hAnsi="Arial" w:cs="Arial"/>
          <w:u w:val="single"/>
          <w:shd w:val="clear" w:color="auto" w:fill="FFFFFF"/>
        </w:rPr>
        <w:t xml:space="preserve">City of San Jose, </w:t>
      </w:r>
      <w:r w:rsidRPr="005F2995">
        <w:rPr>
          <w:rFonts w:ascii="Arial" w:hAnsi="Arial" w:cs="Arial"/>
          <w:shd w:val="clear" w:color="auto" w:fill="FFFFFF"/>
        </w:rPr>
        <w:t xml:space="preserve">66 </w:t>
      </w:r>
      <w:proofErr w:type="spellStart"/>
      <w:r w:rsidRPr="005F2995">
        <w:rPr>
          <w:rFonts w:ascii="Arial" w:hAnsi="Arial" w:cs="Arial"/>
          <w:shd w:val="clear" w:color="auto" w:fill="FFFFFF"/>
        </w:rPr>
        <w:t>Cal.App</w:t>
      </w:r>
      <w:proofErr w:type="spellEnd"/>
      <w:r w:rsidRPr="005F2995">
        <w:rPr>
          <w:rFonts w:ascii="Arial" w:hAnsi="Arial" w:cs="Arial"/>
          <w:shd w:val="clear" w:color="auto" w:fill="FFFFFF"/>
        </w:rPr>
        <w:t>. 4</w:t>
      </w:r>
      <w:r w:rsidRPr="005F2995">
        <w:rPr>
          <w:rFonts w:ascii="Arial" w:hAnsi="Arial" w:cs="Arial"/>
          <w:shd w:val="clear" w:color="auto" w:fill="FFFFFF"/>
          <w:vertAlign w:val="superscript"/>
        </w:rPr>
        <w:t>th</w:t>
      </w:r>
      <w:r w:rsidRPr="005F2995">
        <w:rPr>
          <w:rFonts w:ascii="Arial" w:hAnsi="Arial" w:cs="Arial"/>
          <w:shd w:val="clear" w:color="auto" w:fill="FFFFFF"/>
        </w:rPr>
        <w:t xml:space="preserve"> at 42. This language, the court reasoned, showed the legislature’s intent to “leave to the local authorities the matter </w:t>
      </w:r>
      <w:r w:rsidRPr="005F2995">
        <w:rPr>
          <w:rFonts w:ascii="Arial" w:hAnsi="Arial" w:cs="Arial"/>
        </w:rPr>
        <w:t xml:space="preserve">of regulating the smoking of tobacco in their respective jurisdictions, provided the regulations so adopted do not conflict with statutory law.” </w:t>
      </w:r>
      <w:r w:rsidRPr="005F2995">
        <w:rPr>
          <w:rFonts w:ascii="Arial" w:hAnsi="Arial" w:cs="Arial"/>
          <w:u w:val="single"/>
        </w:rPr>
        <w:t>Id.</w:t>
      </w:r>
    </w:p>
    <w:p w14:paraId="72DFBC84" w14:textId="4E20D92F" w:rsidR="00CC07CA" w:rsidRDefault="002A559B" w:rsidP="00AD7828">
      <w:pPr>
        <w:spacing w:after="120"/>
        <w:ind w:right="-720"/>
        <w:jc w:val="both"/>
        <w:rPr>
          <w:rFonts w:ascii="Arial" w:hAnsi="Arial" w:cs="Arial"/>
        </w:rPr>
      </w:pPr>
      <w:r w:rsidRPr="005F2995">
        <w:rPr>
          <w:rFonts w:ascii="Arial" w:hAnsi="Arial" w:cs="Arial"/>
        </w:rPr>
        <w:t>The court further noted that the police powers of a local jurisdiction are “as broad as the police power exercised by the legislature itself.”</w:t>
      </w:r>
      <w:r w:rsidR="009A72F8" w:rsidRPr="005F2995">
        <w:rPr>
          <w:rFonts w:ascii="Arial" w:hAnsi="Arial" w:cs="Arial"/>
        </w:rPr>
        <w:t xml:space="preserve"> </w:t>
      </w:r>
      <w:r w:rsidRPr="005F2995">
        <w:rPr>
          <w:rFonts w:ascii="Arial" w:hAnsi="Arial" w:cs="Arial"/>
        </w:rPr>
        <w:t>It fell within the police powers of the local jurisdiction to protect the public’s health by regulating the smoking of tobacco. Likewise, in the instant matter, local jurisdictions should be able to regulate whether or not cannabis businesses are allowed to deliver within their jurisdiction.</w:t>
      </w:r>
      <w:r w:rsidR="009A72F8" w:rsidRPr="005F2995">
        <w:rPr>
          <w:rFonts w:ascii="Arial" w:hAnsi="Arial" w:cs="Arial"/>
        </w:rPr>
        <w:t xml:space="preserve"> </w:t>
      </w:r>
    </w:p>
    <w:p w14:paraId="293BE66F" w14:textId="77777777" w:rsidR="009F105E" w:rsidRDefault="009F105E" w:rsidP="00AD7828">
      <w:pPr>
        <w:spacing w:after="120"/>
        <w:ind w:right="-720"/>
        <w:jc w:val="both"/>
        <w:rPr>
          <w:rFonts w:ascii="Arial" w:hAnsi="Arial" w:cs="Arial"/>
        </w:rPr>
      </w:pPr>
      <w:r>
        <w:rPr>
          <w:rFonts w:ascii="Arial" w:hAnsi="Arial" w:cs="Arial"/>
        </w:rPr>
        <w:t>Further,</w:t>
      </w:r>
      <w:r w:rsidRPr="001348F1">
        <w:rPr>
          <w:rFonts w:ascii="Arial" w:hAnsi="Arial" w:cs="Arial"/>
        </w:rPr>
        <w:t xml:space="preserve"> an influx of unapproved local cannabis deliveries will decrease transparency of cannabis operations and increase public safety obligations and costs for local law enforcement agencies.</w:t>
      </w:r>
    </w:p>
    <w:p w14:paraId="7A040930" w14:textId="15273B1B" w:rsidR="009F105E" w:rsidRPr="005C5C9C" w:rsidRDefault="009F105E" w:rsidP="00AD7828">
      <w:pPr>
        <w:spacing w:after="120"/>
        <w:ind w:right="-720"/>
        <w:jc w:val="both"/>
        <w:rPr>
          <w:rFonts w:ascii="Arial" w:hAnsi="Arial" w:cs="Arial"/>
        </w:rPr>
      </w:pPr>
      <w:r w:rsidRPr="001348F1">
        <w:rPr>
          <w:rFonts w:ascii="Arial" w:hAnsi="Arial" w:cs="Arial"/>
        </w:rPr>
        <w:t xml:space="preserve">That section 5416(d) contradicts existing law is illustrated further by the failure of Sen. Ricardo Lara’s SB 1302, which would have similarly preempted a local government from adopting or enforcing an ordinance that would ban cannabis deliveries within its jurisdiction. </w:t>
      </w:r>
      <w:r w:rsidR="002E4772">
        <w:rPr>
          <w:rFonts w:ascii="Arial" w:hAnsi="Arial" w:cs="Arial"/>
        </w:rPr>
        <w:t xml:space="preserve">Legislative counsel required a 2/3rds vote for passage, recognizing that this bill fundamentally altered the intent of the ballot initiative. </w:t>
      </w:r>
      <w:r w:rsidRPr="001348F1">
        <w:rPr>
          <w:rFonts w:ascii="Arial" w:hAnsi="Arial" w:cs="Arial"/>
        </w:rPr>
        <w:t>Not only did SB 1302 fail to attain the required two-thirds vote required by Proposition 64 for the enactment of amendments</w:t>
      </w:r>
      <w:r w:rsidR="0005506D">
        <w:rPr>
          <w:rFonts w:ascii="Arial" w:hAnsi="Arial" w:cs="Arial"/>
        </w:rPr>
        <w:t xml:space="preserve"> that substantively modify the intent</w:t>
      </w:r>
      <w:r w:rsidRPr="001348F1">
        <w:rPr>
          <w:rFonts w:ascii="Arial" w:hAnsi="Arial" w:cs="Arial"/>
        </w:rPr>
        <w:t>, it failed to pass out of its house of origin.</w:t>
      </w:r>
    </w:p>
    <w:p w14:paraId="07E1609D" w14:textId="44E0B431" w:rsidR="009F105E" w:rsidRPr="00D90F4B" w:rsidRDefault="009F105E" w:rsidP="00AD7828">
      <w:pPr>
        <w:pStyle w:val="ListParagraph"/>
        <w:spacing w:after="120"/>
        <w:ind w:left="0" w:right="-720"/>
        <w:contextualSpacing w:val="0"/>
        <w:jc w:val="both"/>
        <w:rPr>
          <w:rFonts w:ascii="Arial" w:hAnsi="Arial" w:cs="Arial"/>
          <w:b/>
        </w:rPr>
      </w:pPr>
      <w:r w:rsidRPr="00D90F4B">
        <w:rPr>
          <w:rFonts w:ascii="Arial" w:hAnsi="Arial" w:cs="Arial"/>
          <w:b/>
        </w:rPr>
        <w:t>Because section 5416(d) goes beyond the statutory provisions of Proposition 64 and MAUCRSA, adoption of 5416(d) would exceed the Bureau of Cannabis Control’s (BCC) regulatory authority. California Business and Professions Code section 26013 limits the regulatory authority of the BCC to enacting rules and regulations that are “consistent with the purposes and intent of [Proposition 64].” By allowing deliveries in every jurisdiction in California, the BCC is fundamentally changing Proposition 64, not simply clarifying existing law</w:t>
      </w:r>
      <w:r w:rsidR="002E4772" w:rsidRPr="00D90F4B">
        <w:rPr>
          <w:rFonts w:ascii="Arial" w:hAnsi="Arial" w:cs="Arial"/>
          <w:b/>
        </w:rPr>
        <w:t>, and undermining the expressed will of California voters</w:t>
      </w:r>
      <w:r w:rsidRPr="00D90F4B">
        <w:rPr>
          <w:rFonts w:ascii="Arial" w:hAnsi="Arial" w:cs="Arial"/>
          <w:b/>
        </w:rPr>
        <w:t xml:space="preserve">. For these reasons, section 5416(d) </w:t>
      </w:r>
      <w:r w:rsidR="002E4772" w:rsidRPr="00D90F4B">
        <w:rPr>
          <w:rFonts w:ascii="Arial" w:hAnsi="Arial" w:cs="Arial"/>
          <w:b/>
        </w:rPr>
        <w:t xml:space="preserve">must </w:t>
      </w:r>
      <w:r w:rsidRPr="00D90F4B">
        <w:rPr>
          <w:rFonts w:ascii="Arial" w:hAnsi="Arial" w:cs="Arial"/>
          <w:b/>
        </w:rPr>
        <w:t>be removed from the regulations.</w:t>
      </w:r>
    </w:p>
    <w:p w14:paraId="6842619B" w14:textId="6241CDA2" w:rsidR="00CA70D8" w:rsidRDefault="00CA70D8" w:rsidP="005C5C9C">
      <w:pPr>
        <w:pStyle w:val="ListParagraph"/>
        <w:spacing w:after="120"/>
        <w:ind w:left="1080"/>
        <w:jc w:val="both"/>
        <w:rPr>
          <w:rFonts w:ascii="Arial" w:hAnsi="Arial" w:cs="Arial"/>
          <w:b/>
          <w:sz w:val="28"/>
          <w:szCs w:val="28"/>
        </w:rPr>
      </w:pPr>
    </w:p>
    <w:p w14:paraId="1961B0EE" w14:textId="127FFDAD" w:rsidR="005C5C9C" w:rsidRPr="005C5C9C" w:rsidRDefault="005C5C9C" w:rsidP="005C5C9C">
      <w:pPr>
        <w:pStyle w:val="ListParagraph"/>
        <w:numPr>
          <w:ilvl w:val="0"/>
          <w:numId w:val="7"/>
        </w:numPr>
        <w:spacing w:after="120"/>
        <w:jc w:val="both"/>
        <w:rPr>
          <w:rFonts w:ascii="Arial" w:hAnsi="Arial" w:cs="Arial"/>
          <w:i/>
        </w:rPr>
      </w:pPr>
      <w:r w:rsidRPr="005C5C9C">
        <w:rPr>
          <w:rFonts w:ascii="Arial" w:hAnsi="Arial" w:cs="Arial"/>
          <w:i/>
        </w:rPr>
        <w:t>§ 5601. Temporary Cannabis Event License</w:t>
      </w:r>
    </w:p>
    <w:p w14:paraId="4CC0F175" w14:textId="28F4F727" w:rsidR="005C5C9C" w:rsidRDefault="005C5C9C" w:rsidP="00AD7828">
      <w:pPr>
        <w:spacing w:after="120"/>
        <w:ind w:right="-720"/>
        <w:jc w:val="both"/>
        <w:rPr>
          <w:rFonts w:ascii="Arial" w:hAnsi="Arial" w:cs="Arial"/>
        </w:rPr>
      </w:pPr>
      <w:r w:rsidRPr="005C5C9C">
        <w:rPr>
          <w:rFonts w:ascii="Arial" w:hAnsi="Arial" w:cs="Arial"/>
        </w:rPr>
        <w:t>Temporary cannabis event licenses should be restricted to trade only events which can on</w:t>
      </w:r>
      <w:r w:rsidR="009446AB">
        <w:rPr>
          <w:rFonts w:ascii="Arial" w:hAnsi="Arial" w:cs="Arial"/>
        </w:rPr>
        <w:t xml:space="preserve">ly be attended by those over 21. </w:t>
      </w:r>
      <w:r>
        <w:rPr>
          <w:rFonts w:ascii="Arial" w:hAnsi="Arial" w:cs="Arial"/>
        </w:rPr>
        <w:t>The presence of cannabis promotion at community events or county fairs serves only to promote and normalize consumption. We would not want a tobacco retailer at a county fair and we should not have cannabis retailers there. Event licenses should be used exclusively for trade fairs targeting the industry only with controlled entry</w:t>
      </w:r>
      <w:r w:rsidR="009446AB">
        <w:rPr>
          <w:rFonts w:ascii="Arial" w:hAnsi="Arial" w:cs="Arial"/>
        </w:rPr>
        <w:t xml:space="preserve"> to those over 21 years of age.</w:t>
      </w:r>
    </w:p>
    <w:p w14:paraId="117AA48F" w14:textId="1CAAD3D5" w:rsidR="005C5C9C" w:rsidRDefault="005C5C9C" w:rsidP="00CA70D8">
      <w:pPr>
        <w:pStyle w:val="ListParagraph"/>
        <w:spacing w:after="120"/>
        <w:ind w:left="1080"/>
        <w:jc w:val="both"/>
        <w:rPr>
          <w:rFonts w:ascii="Arial" w:hAnsi="Arial" w:cs="Arial"/>
          <w:b/>
          <w:sz w:val="28"/>
          <w:szCs w:val="28"/>
        </w:rPr>
      </w:pPr>
    </w:p>
    <w:p w14:paraId="608D6120" w14:textId="77777777" w:rsidR="003B3F2E" w:rsidRPr="003E69FD" w:rsidRDefault="003B3F2E" w:rsidP="00CA70D8">
      <w:pPr>
        <w:pStyle w:val="ListParagraph"/>
        <w:spacing w:after="120"/>
        <w:ind w:left="1080"/>
        <w:jc w:val="both"/>
        <w:rPr>
          <w:rFonts w:ascii="Arial" w:hAnsi="Arial" w:cs="Arial"/>
          <w:b/>
          <w:sz w:val="28"/>
          <w:szCs w:val="28"/>
        </w:rPr>
      </w:pPr>
      <w:bookmarkStart w:id="0" w:name="_GoBack"/>
      <w:bookmarkEnd w:id="0"/>
    </w:p>
    <w:p w14:paraId="1F7263E8" w14:textId="31B0E6C9" w:rsidR="003A7802" w:rsidRPr="00847481" w:rsidRDefault="00847481" w:rsidP="00847481">
      <w:pPr>
        <w:pStyle w:val="ListParagraph"/>
        <w:numPr>
          <w:ilvl w:val="0"/>
          <w:numId w:val="7"/>
        </w:numPr>
        <w:tabs>
          <w:tab w:val="left" w:pos="360"/>
        </w:tabs>
        <w:spacing w:after="120"/>
        <w:rPr>
          <w:rFonts w:ascii="Arial" w:hAnsi="Arial" w:cs="Arial"/>
          <w:i/>
        </w:rPr>
      </w:pPr>
      <w:r w:rsidRPr="00847481">
        <w:rPr>
          <w:rFonts w:ascii="Arial" w:hAnsi="Arial" w:cs="Arial"/>
          <w:i/>
        </w:rPr>
        <w:t>§ 5800. Right of Access</w:t>
      </w:r>
      <w:r>
        <w:rPr>
          <w:rFonts w:ascii="Arial" w:hAnsi="Arial" w:cs="Arial"/>
          <w:i/>
        </w:rPr>
        <w:t xml:space="preserve"> &amp; </w:t>
      </w:r>
      <w:r w:rsidRPr="00847481">
        <w:rPr>
          <w:rFonts w:ascii="Arial" w:hAnsi="Arial" w:cs="Arial"/>
          <w:i/>
        </w:rPr>
        <w:t>§ 5805. Minor Decoys</w:t>
      </w:r>
    </w:p>
    <w:p w14:paraId="59AC6B8B" w14:textId="6A928236" w:rsidR="00847481" w:rsidRDefault="00847481" w:rsidP="00AD7828">
      <w:pPr>
        <w:tabs>
          <w:tab w:val="left" w:pos="360"/>
        </w:tabs>
        <w:spacing w:after="120"/>
        <w:ind w:right="-720"/>
        <w:jc w:val="both"/>
        <w:rPr>
          <w:rFonts w:ascii="Arial" w:hAnsi="Arial" w:cs="Arial"/>
        </w:rPr>
      </w:pPr>
      <w:r w:rsidRPr="00D10959">
        <w:rPr>
          <w:rFonts w:ascii="Arial" w:hAnsi="Arial" w:cs="Arial"/>
        </w:rPr>
        <w:t>Robust enforcement of proper identification verification procedures is essential to reduce or eliminate efforts to</w:t>
      </w:r>
      <w:r>
        <w:rPr>
          <w:rFonts w:ascii="Arial" w:hAnsi="Arial" w:cs="Arial"/>
        </w:rPr>
        <w:t xml:space="preserve"> </w:t>
      </w:r>
      <w:r w:rsidRPr="00D10959">
        <w:rPr>
          <w:rFonts w:ascii="Arial" w:hAnsi="Arial" w:cs="Arial"/>
        </w:rPr>
        <w:t>bypass the age limit for adult-use</w:t>
      </w:r>
      <w:r>
        <w:rPr>
          <w:rFonts w:ascii="Arial" w:hAnsi="Arial" w:cs="Arial"/>
        </w:rPr>
        <w:t xml:space="preserve"> cannabis</w:t>
      </w:r>
      <w:r w:rsidRPr="00D10959">
        <w:rPr>
          <w:rFonts w:ascii="Arial" w:hAnsi="Arial" w:cs="Arial"/>
        </w:rPr>
        <w:t>, or to misuse or abuse the medical cannabis program by those under the lawful age for non-medical cannabis consumption and</w:t>
      </w:r>
      <w:r>
        <w:rPr>
          <w:rFonts w:ascii="Arial" w:hAnsi="Arial" w:cs="Arial"/>
        </w:rPr>
        <w:t xml:space="preserve"> </w:t>
      </w:r>
      <w:r w:rsidRPr="00D10959">
        <w:rPr>
          <w:rFonts w:ascii="Arial" w:hAnsi="Arial" w:cs="Arial"/>
        </w:rPr>
        <w:t>tobacco consumption who may seek to substitute cannabis for tobacco.</w:t>
      </w:r>
      <w:r>
        <w:rPr>
          <w:rFonts w:ascii="Arial" w:hAnsi="Arial" w:cs="Arial"/>
        </w:rPr>
        <w:t xml:space="preserve"> </w:t>
      </w:r>
      <w:r w:rsidRPr="00847481">
        <w:rPr>
          <w:rFonts w:ascii="Arial" w:hAnsi="Arial" w:cs="Arial"/>
        </w:rPr>
        <w:t>Best practices from alcohol and tobacco control indicate that unannounced compliance checks ideally every 3 months but no less than twice a year are a critical component of ensuring that retailers conform to sales regulations that protect public health.</w:t>
      </w:r>
    </w:p>
    <w:p w14:paraId="544243A3" w14:textId="77777777" w:rsidR="00904714" w:rsidRDefault="00904714" w:rsidP="00904714">
      <w:pPr>
        <w:pStyle w:val="ListParagraph"/>
        <w:ind w:left="360"/>
        <w:jc w:val="both"/>
        <w:rPr>
          <w:rFonts w:ascii="Arial" w:hAnsi="Arial" w:cs="Arial"/>
          <w:color w:val="FF0000"/>
        </w:rPr>
      </w:pPr>
    </w:p>
    <w:p w14:paraId="67CF5A37" w14:textId="5D38CD8B" w:rsidR="00904714" w:rsidRPr="009564EE" w:rsidRDefault="00904714" w:rsidP="009564EE">
      <w:pPr>
        <w:pStyle w:val="ListParagraph"/>
        <w:numPr>
          <w:ilvl w:val="0"/>
          <w:numId w:val="8"/>
        </w:numPr>
        <w:ind w:left="720"/>
        <w:rPr>
          <w:rFonts w:ascii="Arial" w:hAnsi="Arial" w:cs="Arial"/>
          <w:i/>
        </w:rPr>
      </w:pPr>
      <w:r w:rsidRPr="009564EE">
        <w:rPr>
          <w:rFonts w:ascii="Arial" w:hAnsi="Arial" w:cs="Arial"/>
          <w:i/>
        </w:rPr>
        <w:t>§ 5900. Eligibility</w:t>
      </w:r>
      <w:r w:rsidR="00B9372B" w:rsidRPr="009564EE">
        <w:rPr>
          <w:rFonts w:ascii="Arial" w:hAnsi="Arial" w:cs="Arial"/>
          <w:i/>
        </w:rPr>
        <w:t>, 5901. Request for Proposals &amp; § 5902. Selection Process and Criteria</w:t>
      </w:r>
    </w:p>
    <w:p w14:paraId="2177FD65" w14:textId="1340CCCF" w:rsidR="007D1A72" w:rsidRPr="00904714" w:rsidRDefault="007D1A72" w:rsidP="00904714">
      <w:pPr>
        <w:jc w:val="both"/>
        <w:rPr>
          <w:rFonts w:ascii="Arial" w:hAnsi="Arial" w:cs="Arial"/>
        </w:rPr>
      </w:pPr>
    </w:p>
    <w:p w14:paraId="095A88E3" w14:textId="00753E55" w:rsidR="00B94F20" w:rsidRPr="00D90F4B" w:rsidRDefault="007D1A72" w:rsidP="00AD7828">
      <w:pPr>
        <w:spacing w:after="120"/>
        <w:ind w:right="-720"/>
        <w:jc w:val="both"/>
        <w:rPr>
          <w:rFonts w:ascii="Arial" w:hAnsi="Arial" w:cs="Arial"/>
          <w:b/>
        </w:rPr>
      </w:pPr>
      <w:r w:rsidRPr="00904714">
        <w:rPr>
          <w:rFonts w:ascii="Arial" w:hAnsi="Arial" w:cs="Arial"/>
        </w:rPr>
        <w:t xml:space="preserve">The proposed mechanism for administering the research funding </w:t>
      </w:r>
      <w:r w:rsidR="00094682" w:rsidRPr="00904714">
        <w:rPr>
          <w:rFonts w:ascii="Arial" w:hAnsi="Arial" w:cs="Arial"/>
        </w:rPr>
        <w:t xml:space="preserve">ignores decades of highly positive experience with the </w:t>
      </w:r>
      <w:r w:rsidR="00B94F20" w:rsidRPr="00904714">
        <w:rPr>
          <w:rFonts w:ascii="Arial" w:hAnsi="Arial" w:cs="Arial"/>
        </w:rPr>
        <w:t xml:space="preserve">widely recognized excellence and </w:t>
      </w:r>
      <w:r w:rsidR="00094682" w:rsidRPr="00904714">
        <w:rPr>
          <w:rFonts w:ascii="Arial" w:hAnsi="Arial" w:cs="Arial"/>
        </w:rPr>
        <w:t>competent administration of similar research funding in the State of California</w:t>
      </w:r>
      <w:r w:rsidR="00B94F20" w:rsidRPr="00904714">
        <w:rPr>
          <w:rFonts w:ascii="Arial" w:hAnsi="Arial" w:cs="Arial"/>
        </w:rPr>
        <w:t>’s premier public university system</w:t>
      </w:r>
      <w:r w:rsidR="00094682" w:rsidRPr="00904714">
        <w:rPr>
          <w:rFonts w:ascii="Arial" w:hAnsi="Arial" w:cs="Arial"/>
        </w:rPr>
        <w:t xml:space="preserve">. </w:t>
      </w:r>
      <w:r w:rsidR="00094682" w:rsidRPr="00D90F4B">
        <w:rPr>
          <w:rFonts w:ascii="Arial" w:hAnsi="Arial" w:cs="Arial"/>
          <w:b/>
        </w:rPr>
        <w:t xml:space="preserve">The BCC should disburse the funds to the Office of the President of the University of California to be administered through a </w:t>
      </w:r>
      <w:proofErr w:type="gramStart"/>
      <w:r w:rsidR="00094682" w:rsidRPr="00D90F4B">
        <w:rPr>
          <w:rFonts w:ascii="Arial" w:hAnsi="Arial" w:cs="Arial"/>
          <w:b/>
        </w:rPr>
        <w:t>competitive grants</w:t>
      </w:r>
      <w:proofErr w:type="gramEnd"/>
      <w:r w:rsidR="00094682" w:rsidRPr="00D90F4B">
        <w:rPr>
          <w:rFonts w:ascii="Arial" w:hAnsi="Arial" w:cs="Arial"/>
          <w:b/>
        </w:rPr>
        <w:t xml:space="preserve"> similar to</w:t>
      </w:r>
      <w:r w:rsidR="004A3D0F" w:rsidRPr="00D90F4B">
        <w:rPr>
          <w:rFonts w:ascii="Arial" w:hAnsi="Arial" w:cs="Arial"/>
          <w:b/>
        </w:rPr>
        <w:t xml:space="preserve"> California Tobacco Related Disease Research Program (TRDRP)</w:t>
      </w:r>
      <w:r w:rsidR="00094682" w:rsidRPr="00D90F4B">
        <w:rPr>
          <w:rFonts w:ascii="Arial" w:hAnsi="Arial" w:cs="Arial"/>
          <w:b/>
        </w:rPr>
        <w:t>,</w:t>
      </w:r>
      <w:r w:rsidR="00B9372B" w:rsidRPr="00D90F4B">
        <w:rPr>
          <w:rFonts w:ascii="Arial" w:hAnsi="Arial" w:cs="Arial"/>
          <w:b/>
        </w:rPr>
        <w:t xml:space="preserve"> </w:t>
      </w:r>
      <w:r w:rsidR="00094682" w:rsidRPr="00D90F4B">
        <w:rPr>
          <w:rFonts w:ascii="Arial" w:hAnsi="Arial" w:cs="Arial"/>
          <w:b/>
        </w:rPr>
        <w:t xml:space="preserve">responsive to the priorities identified in MAUCRSA and to additional </w:t>
      </w:r>
      <w:r w:rsidR="00B94F20" w:rsidRPr="00D90F4B">
        <w:rPr>
          <w:rFonts w:ascii="Arial" w:hAnsi="Arial" w:cs="Arial"/>
          <w:b/>
        </w:rPr>
        <w:t xml:space="preserve">research </w:t>
      </w:r>
      <w:r w:rsidR="00094682" w:rsidRPr="00D90F4B">
        <w:rPr>
          <w:rFonts w:ascii="Arial" w:hAnsi="Arial" w:cs="Arial"/>
          <w:b/>
        </w:rPr>
        <w:t xml:space="preserve">needs identified </w:t>
      </w:r>
      <w:r w:rsidR="00555D44" w:rsidRPr="00D90F4B">
        <w:rPr>
          <w:rFonts w:ascii="Arial" w:hAnsi="Arial" w:cs="Arial"/>
          <w:b/>
        </w:rPr>
        <w:t xml:space="preserve">annually </w:t>
      </w:r>
      <w:r w:rsidR="00094682" w:rsidRPr="00D90F4B">
        <w:rPr>
          <w:rFonts w:ascii="Arial" w:hAnsi="Arial" w:cs="Arial"/>
          <w:b/>
        </w:rPr>
        <w:t>by licensing agencies. Since MAUCRSA includes amongst its priorities for research the evaluation of the work of the licensing agencies, as well as its public health impact, this work should clearly be contracted</w:t>
      </w:r>
      <w:r w:rsidR="00B94F20" w:rsidRPr="00D90F4B">
        <w:rPr>
          <w:rFonts w:ascii="Arial" w:hAnsi="Arial" w:cs="Arial"/>
          <w:b/>
        </w:rPr>
        <w:t xml:space="preserve"> for</w:t>
      </w:r>
      <w:r w:rsidR="00094682" w:rsidRPr="00D90F4B">
        <w:rPr>
          <w:rFonts w:ascii="Arial" w:hAnsi="Arial" w:cs="Arial"/>
          <w:b/>
        </w:rPr>
        <w:t xml:space="preserve"> independently to assure its inde</w:t>
      </w:r>
      <w:r w:rsidR="00B94F20" w:rsidRPr="00D90F4B">
        <w:rPr>
          <w:rFonts w:ascii="Arial" w:hAnsi="Arial" w:cs="Arial"/>
          <w:b/>
        </w:rPr>
        <w:t>pe</w:t>
      </w:r>
      <w:r w:rsidR="00094682" w:rsidRPr="00D90F4B">
        <w:rPr>
          <w:rFonts w:ascii="Arial" w:hAnsi="Arial" w:cs="Arial"/>
          <w:b/>
        </w:rPr>
        <w:t>ndence and integrity.</w:t>
      </w:r>
      <w:r w:rsidR="00635516" w:rsidRPr="00D90F4B">
        <w:rPr>
          <w:rFonts w:ascii="Arial" w:hAnsi="Arial" w:cs="Arial"/>
          <w:b/>
        </w:rPr>
        <w:t xml:space="preserve"> </w:t>
      </w:r>
    </w:p>
    <w:p w14:paraId="297DFCD7" w14:textId="4008E383" w:rsidR="00C00C38" w:rsidRPr="00904714" w:rsidRDefault="005C2FE0" w:rsidP="003B3F2E">
      <w:pPr>
        <w:spacing w:after="120"/>
        <w:ind w:right="-720"/>
        <w:jc w:val="both"/>
        <w:rPr>
          <w:rFonts w:ascii="Arial" w:hAnsi="Arial" w:cs="Arial"/>
        </w:rPr>
      </w:pPr>
      <w:r w:rsidRPr="00904714">
        <w:rPr>
          <w:rFonts w:ascii="Arial" w:hAnsi="Arial" w:cs="Arial"/>
        </w:rPr>
        <w:t xml:space="preserve">The regulations as written appear to position BCC to become a research </w:t>
      </w:r>
      <w:r w:rsidR="004A3D0F" w:rsidRPr="00904714">
        <w:rPr>
          <w:rFonts w:ascii="Arial" w:hAnsi="Arial" w:cs="Arial"/>
        </w:rPr>
        <w:t xml:space="preserve">administration agency. Yet </w:t>
      </w:r>
      <w:r w:rsidR="00094682" w:rsidRPr="00904714">
        <w:rPr>
          <w:rFonts w:ascii="Arial" w:hAnsi="Arial" w:cs="Arial"/>
        </w:rPr>
        <w:t>BCC is</w:t>
      </w:r>
      <w:r w:rsidR="00635516">
        <w:rPr>
          <w:rFonts w:ascii="Arial" w:hAnsi="Arial" w:cs="Arial"/>
        </w:rPr>
        <w:t xml:space="preserve"> </w:t>
      </w:r>
      <w:r w:rsidR="00094682" w:rsidRPr="00904714">
        <w:rPr>
          <w:rFonts w:ascii="Arial" w:hAnsi="Arial" w:cs="Arial"/>
        </w:rPr>
        <w:t xml:space="preserve">an </w:t>
      </w:r>
      <w:r w:rsidR="004A3D0F" w:rsidRPr="00904714">
        <w:rPr>
          <w:rFonts w:ascii="Arial" w:hAnsi="Arial" w:cs="Arial"/>
        </w:rPr>
        <w:t>agency</w:t>
      </w:r>
      <w:r w:rsidR="00094682" w:rsidRPr="00904714">
        <w:rPr>
          <w:rFonts w:ascii="Arial" w:hAnsi="Arial" w:cs="Arial"/>
        </w:rPr>
        <w:t xml:space="preserve"> that has absolutely no history or competency whatsoever</w:t>
      </w:r>
      <w:r w:rsidR="00635516">
        <w:rPr>
          <w:rFonts w:ascii="Arial" w:hAnsi="Arial" w:cs="Arial"/>
        </w:rPr>
        <w:t xml:space="preserve"> </w:t>
      </w:r>
      <w:r w:rsidR="00094682" w:rsidRPr="00904714">
        <w:rPr>
          <w:rFonts w:ascii="Arial" w:hAnsi="Arial" w:cs="Arial"/>
        </w:rPr>
        <w:t xml:space="preserve">in administration of research funding and should not </w:t>
      </w:r>
      <w:r w:rsidR="004A3D0F" w:rsidRPr="00904714">
        <w:rPr>
          <w:rFonts w:ascii="Arial" w:hAnsi="Arial" w:cs="Arial"/>
        </w:rPr>
        <w:t xml:space="preserve">seek to play the role of </w:t>
      </w:r>
      <w:r w:rsidR="00094682" w:rsidRPr="00904714">
        <w:rPr>
          <w:rFonts w:ascii="Arial" w:hAnsi="Arial" w:cs="Arial"/>
        </w:rPr>
        <w:t>directly design</w:t>
      </w:r>
      <w:r w:rsidR="004A3D0F" w:rsidRPr="00904714">
        <w:rPr>
          <w:rFonts w:ascii="Arial" w:hAnsi="Arial" w:cs="Arial"/>
        </w:rPr>
        <w:t>ing</w:t>
      </w:r>
      <w:r w:rsidR="00094682" w:rsidRPr="00904714">
        <w:rPr>
          <w:rFonts w:ascii="Arial" w:hAnsi="Arial" w:cs="Arial"/>
        </w:rPr>
        <w:t xml:space="preserve"> or administer</w:t>
      </w:r>
      <w:r w:rsidR="004A3D0F" w:rsidRPr="00904714">
        <w:rPr>
          <w:rFonts w:ascii="Arial" w:hAnsi="Arial" w:cs="Arial"/>
        </w:rPr>
        <w:t>ing</w:t>
      </w:r>
      <w:r w:rsidR="00094682" w:rsidRPr="00904714">
        <w:rPr>
          <w:rFonts w:ascii="Arial" w:hAnsi="Arial" w:cs="Arial"/>
        </w:rPr>
        <w:t xml:space="preserve"> research funding programs. </w:t>
      </w:r>
      <w:r w:rsidR="004A3D0F" w:rsidRPr="00904714">
        <w:rPr>
          <w:rFonts w:ascii="Arial" w:hAnsi="Arial" w:cs="Arial"/>
        </w:rPr>
        <w:t>It would take large investments in development of research expertise and new staff for BCC, unlike the University of California, which has well established and world</w:t>
      </w:r>
      <w:r w:rsidR="00555D44">
        <w:rPr>
          <w:rFonts w:ascii="Arial" w:hAnsi="Arial" w:cs="Arial"/>
        </w:rPr>
        <w:t>-</w:t>
      </w:r>
      <w:r w:rsidR="004A3D0F" w:rsidRPr="00904714">
        <w:rPr>
          <w:rFonts w:ascii="Arial" w:hAnsi="Arial" w:cs="Arial"/>
        </w:rPr>
        <w:t xml:space="preserve">famous expertise and capacity for administering research funding. </w:t>
      </w:r>
    </w:p>
    <w:p w14:paraId="4B5F2CBD" w14:textId="1B6A8A13" w:rsidR="004A3D0F" w:rsidRPr="00547E33" w:rsidRDefault="00094682" w:rsidP="003B3F2E">
      <w:pPr>
        <w:adjustRightInd w:val="0"/>
        <w:snapToGrid w:val="0"/>
        <w:jc w:val="both"/>
      </w:pPr>
      <w:r w:rsidRPr="00547E33">
        <w:rPr>
          <w:rFonts w:ascii="Arial" w:hAnsi="Arial" w:cs="Arial"/>
        </w:rPr>
        <w:t>In addition</w:t>
      </w:r>
      <w:r w:rsidR="00555D44" w:rsidRPr="00547E33">
        <w:rPr>
          <w:rFonts w:ascii="Arial" w:hAnsi="Arial" w:cs="Arial"/>
        </w:rPr>
        <w:t>,</w:t>
      </w:r>
      <w:r w:rsidRPr="00547E33">
        <w:rPr>
          <w:rFonts w:ascii="Arial" w:hAnsi="Arial" w:cs="Arial"/>
        </w:rPr>
        <w:t xml:space="preserve"> the language goes beyond the language of MAUCRSA, which requires that funds be initially disbursed to public </w:t>
      </w:r>
      <w:proofErr w:type="spellStart"/>
      <w:proofErr w:type="gramStart"/>
      <w:r w:rsidRPr="00547E33">
        <w:rPr>
          <w:rFonts w:ascii="Arial" w:hAnsi="Arial" w:cs="Arial"/>
        </w:rPr>
        <w:t>universities,</w:t>
      </w:r>
      <w:r w:rsidR="00547E33" w:rsidRPr="00547E33">
        <w:rPr>
          <w:rFonts w:ascii="Arial" w:hAnsi="Arial" w:cs="Arial"/>
        </w:rPr>
        <w:t>and</w:t>
      </w:r>
      <w:proofErr w:type="spellEnd"/>
      <w:proofErr w:type="gramEnd"/>
      <w:r w:rsidR="00547E33" w:rsidRPr="00547E33">
        <w:rPr>
          <w:rFonts w:ascii="Tahoma" w:hAnsi="Tahoma" w:cs="Tahoma"/>
          <w:color w:val="000000"/>
        </w:rPr>
        <w:t xml:space="preserve"> could be misconstrued in such a way as to impermissibly limit the award of research funds </w:t>
      </w:r>
      <w:r w:rsidR="00547E33" w:rsidRPr="00547E33">
        <w:rPr>
          <w:rFonts w:ascii="Tahoma" w:hAnsi="Tahoma" w:cs="Tahoma"/>
          <w:color w:val="000000"/>
        </w:rPr>
        <w:t xml:space="preserve"> from public universities </w:t>
      </w:r>
      <w:r w:rsidR="00547E33" w:rsidRPr="00547E33">
        <w:rPr>
          <w:rFonts w:ascii="Tahoma" w:hAnsi="Tahoma" w:cs="Tahoma"/>
          <w:color w:val="000000"/>
        </w:rPr>
        <w:t xml:space="preserve">through competitive research awards, subgrants, or collaborations with other types of </w:t>
      </w:r>
      <w:r w:rsidR="00547E33" w:rsidRPr="00547E33">
        <w:rPr>
          <w:rFonts w:ascii="Tahoma" w:hAnsi="Tahoma" w:cs="Tahoma"/>
          <w:color w:val="000000"/>
        </w:rPr>
        <w:t xml:space="preserve">public or nonprofit research or provider </w:t>
      </w:r>
      <w:r w:rsidR="00547E33" w:rsidRPr="00547E33">
        <w:rPr>
          <w:rFonts w:ascii="Tahoma" w:hAnsi="Tahoma" w:cs="Tahoma"/>
          <w:color w:val="000000"/>
        </w:rPr>
        <w:t>organizations.  This erroneous interpretation of state law, and potential discarding of decades of positive research funding administration</w:t>
      </w:r>
      <w:r w:rsidR="00547E33" w:rsidRPr="00547E33">
        <w:rPr>
          <w:rFonts w:ascii="Tahoma" w:hAnsi="Tahoma" w:cs="Tahoma"/>
          <w:color w:val="000000"/>
        </w:rPr>
        <w:t xml:space="preserve"> </w:t>
      </w:r>
      <w:proofErr w:type="gramStart"/>
      <w:r w:rsidR="00547E33" w:rsidRPr="00547E33">
        <w:rPr>
          <w:rFonts w:ascii="Tahoma" w:hAnsi="Tahoma" w:cs="Tahoma"/>
          <w:color w:val="000000"/>
        </w:rPr>
        <w:t xml:space="preserve">experience </w:t>
      </w:r>
      <w:r w:rsidR="00547E33" w:rsidRPr="00547E33">
        <w:rPr>
          <w:rFonts w:ascii="Tahoma" w:hAnsi="Tahoma" w:cs="Tahoma"/>
          <w:color w:val="000000"/>
        </w:rPr>
        <w:t xml:space="preserve"> in</w:t>
      </w:r>
      <w:proofErr w:type="gramEnd"/>
      <w:r w:rsidR="00547E33" w:rsidRPr="00547E33">
        <w:rPr>
          <w:rFonts w:ascii="Tahoma" w:hAnsi="Tahoma" w:cs="Tahoma"/>
          <w:color w:val="000000"/>
        </w:rPr>
        <w:t xml:space="preserve"> the state of California, would unduly restrict the breadth and quality of research that could be carried out with this funding.</w:t>
      </w:r>
      <w:r w:rsidR="00547E33" w:rsidRPr="00547E33">
        <w:t xml:space="preserve"> </w:t>
      </w:r>
      <w:r w:rsidRPr="00547E33">
        <w:rPr>
          <w:rFonts w:ascii="Arial" w:hAnsi="Arial" w:cs="Arial"/>
        </w:rPr>
        <w:t>TRDRP,</w:t>
      </w:r>
      <w:r w:rsidR="00C00C38" w:rsidRPr="00547E33">
        <w:rPr>
          <w:rFonts w:ascii="Arial" w:hAnsi="Arial" w:cs="Arial"/>
        </w:rPr>
        <w:t xml:space="preserve"> </w:t>
      </w:r>
      <w:r w:rsidR="00C00C38" w:rsidRPr="00904714">
        <w:rPr>
          <w:rFonts w:ascii="Arial" w:hAnsi="Arial" w:cs="Arial"/>
        </w:rPr>
        <w:t>for example, has granted funds</w:t>
      </w:r>
      <w:r w:rsidR="00635516">
        <w:rPr>
          <w:rFonts w:ascii="Arial" w:hAnsi="Arial" w:cs="Arial"/>
        </w:rPr>
        <w:t xml:space="preserve"> </w:t>
      </w:r>
      <w:r w:rsidRPr="00904714">
        <w:rPr>
          <w:rFonts w:ascii="Arial" w:hAnsi="Arial" w:cs="Arial"/>
        </w:rPr>
        <w:t>to a broader range of research organizations</w:t>
      </w:r>
      <w:r w:rsidR="00C00C38" w:rsidRPr="00904714">
        <w:rPr>
          <w:rFonts w:ascii="Arial" w:hAnsi="Arial" w:cs="Arial"/>
        </w:rPr>
        <w:t>, with highly positive results. We</w:t>
      </w:r>
      <w:r w:rsidRPr="00904714">
        <w:rPr>
          <w:rFonts w:ascii="Arial" w:hAnsi="Arial" w:cs="Arial"/>
        </w:rPr>
        <w:t xml:space="preserve"> propose that</w:t>
      </w:r>
      <w:r w:rsidR="00B94F20" w:rsidRPr="00904714">
        <w:rPr>
          <w:rFonts w:ascii="Arial" w:hAnsi="Arial" w:cs="Arial"/>
        </w:rPr>
        <w:t xml:space="preserve"> receipt of </w:t>
      </w:r>
      <w:r w:rsidRPr="00904714">
        <w:rPr>
          <w:rFonts w:ascii="Arial" w:hAnsi="Arial" w:cs="Arial"/>
        </w:rPr>
        <w:t>r</w:t>
      </w:r>
      <w:r w:rsidR="00B94F20" w:rsidRPr="00904714">
        <w:rPr>
          <w:rFonts w:ascii="Arial" w:hAnsi="Arial" w:cs="Arial"/>
        </w:rPr>
        <w:t>esearch funds</w:t>
      </w:r>
      <w:r w:rsidR="00C00C38" w:rsidRPr="00904714">
        <w:rPr>
          <w:rFonts w:ascii="Arial" w:hAnsi="Arial" w:cs="Arial"/>
        </w:rPr>
        <w:t xml:space="preserve"> awarded by the public university (</w:t>
      </w:r>
      <w:proofErr w:type="spellStart"/>
      <w:r w:rsidR="00C00C38" w:rsidRPr="00904714">
        <w:rPr>
          <w:rFonts w:ascii="Arial" w:hAnsi="Arial" w:cs="Arial"/>
        </w:rPr>
        <w:t>ies</w:t>
      </w:r>
      <w:proofErr w:type="spellEnd"/>
      <w:r w:rsidR="00C00C38" w:rsidRPr="00904714">
        <w:rPr>
          <w:rFonts w:ascii="Arial" w:hAnsi="Arial" w:cs="Arial"/>
        </w:rPr>
        <w:t>) receiving funds</w:t>
      </w:r>
      <w:r w:rsidR="00635516">
        <w:rPr>
          <w:rFonts w:ascii="Arial" w:hAnsi="Arial" w:cs="Arial"/>
        </w:rPr>
        <w:t xml:space="preserve"> </w:t>
      </w:r>
      <w:r w:rsidR="00B94F20" w:rsidRPr="00904714">
        <w:rPr>
          <w:rFonts w:ascii="Arial" w:hAnsi="Arial" w:cs="Arial"/>
        </w:rPr>
        <w:t>be restricted to Califor</w:t>
      </w:r>
      <w:r w:rsidRPr="00904714">
        <w:rPr>
          <w:rFonts w:ascii="Arial" w:hAnsi="Arial" w:cs="Arial"/>
        </w:rPr>
        <w:t xml:space="preserve">nia based public or nonprofit </w:t>
      </w:r>
      <w:r w:rsidR="00C00C38" w:rsidRPr="00904714">
        <w:rPr>
          <w:rFonts w:ascii="Arial" w:hAnsi="Arial" w:cs="Arial"/>
        </w:rPr>
        <w:t xml:space="preserve">universities or other </w:t>
      </w:r>
      <w:r w:rsidR="00B94F20" w:rsidRPr="00904714">
        <w:rPr>
          <w:rFonts w:ascii="Arial" w:hAnsi="Arial" w:cs="Arial"/>
        </w:rPr>
        <w:t>organizations</w:t>
      </w:r>
      <w:r w:rsidR="00C00C38" w:rsidRPr="00904714">
        <w:rPr>
          <w:rFonts w:ascii="Arial" w:hAnsi="Arial" w:cs="Arial"/>
        </w:rPr>
        <w:t xml:space="preserve"> with qualified research capacity</w:t>
      </w:r>
      <w:r w:rsidR="00B94F20" w:rsidRPr="00904714">
        <w:rPr>
          <w:rFonts w:ascii="Arial" w:hAnsi="Arial" w:cs="Arial"/>
        </w:rPr>
        <w:t xml:space="preserve">. For example, Kaiser Permanente’s research arm is carrying out groundbreaking research on the impact of legalization on cannabis exposure during pregnancy and neonatal outcomes and has unique data due to its massive patient population in the state. The </w:t>
      </w:r>
      <w:r w:rsidR="003B3F2E">
        <w:rPr>
          <w:rFonts w:ascii="Arial" w:hAnsi="Arial" w:cs="Arial"/>
        </w:rPr>
        <w:t>regulatory language as written c</w:t>
      </w:r>
      <w:r w:rsidR="00B94F20" w:rsidRPr="00904714">
        <w:rPr>
          <w:rFonts w:ascii="Arial" w:hAnsi="Arial" w:cs="Arial"/>
        </w:rPr>
        <w:t xml:space="preserve">ould, </w:t>
      </w:r>
      <w:r w:rsidR="00B94F20" w:rsidRPr="00904714">
        <w:rPr>
          <w:rFonts w:ascii="Arial" w:hAnsi="Arial" w:cs="Arial"/>
        </w:rPr>
        <w:lastRenderedPageBreak/>
        <w:t>for example,</w:t>
      </w:r>
      <w:r w:rsidR="00635516">
        <w:rPr>
          <w:rFonts w:ascii="Arial" w:hAnsi="Arial" w:cs="Arial"/>
        </w:rPr>
        <w:t xml:space="preserve"> </w:t>
      </w:r>
      <w:r w:rsidR="003B3F2E">
        <w:rPr>
          <w:rFonts w:ascii="Arial" w:hAnsi="Arial" w:cs="Arial"/>
        </w:rPr>
        <w:t xml:space="preserve">be misconstrued as </w:t>
      </w:r>
      <w:r w:rsidR="00B94F20" w:rsidRPr="00904714">
        <w:rPr>
          <w:rFonts w:ascii="Arial" w:hAnsi="Arial" w:cs="Arial"/>
        </w:rPr>
        <w:t xml:space="preserve">prevent the University of California from granting an award to Kaiser or even engaging in collaborative research that benefits from this unique data. </w:t>
      </w:r>
      <w:r w:rsidR="005C2FE0" w:rsidRPr="00904714">
        <w:rPr>
          <w:rFonts w:ascii="Arial" w:hAnsi="Arial" w:cs="Arial"/>
        </w:rPr>
        <w:t>Similarly, a nonprofit</w:t>
      </w:r>
      <w:r w:rsidR="00C00C38" w:rsidRPr="00904714">
        <w:rPr>
          <w:rFonts w:ascii="Arial" w:hAnsi="Arial" w:cs="Arial"/>
        </w:rPr>
        <w:t xml:space="preserve"> compassionate use organization could </w:t>
      </w:r>
      <w:r w:rsidR="003B3F2E">
        <w:rPr>
          <w:rFonts w:ascii="Arial" w:hAnsi="Arial" w:cs="Arial"/>
        </w:rPr>
        <w:t xml:space="preserve">be construed as </w:t>
      </w:r>
      <w:proofErr w:type="spellStart"/>
      <w:r w:rsidR="003B3F2E">
        <w:rPr>
          <w:rFonts w:ascii="Arial" w:hAnsi="Arial" w:cs="Arial"/>
        </w:rPr>
        <w:t>ineleigible</w:t>
      </w:r>
      <w:proofErr w:type="spellEnd"/>
      <w:r w:rsidR="003B3F2E">
        <w:rPr>
          <w:rFonts w:ascii="Arial" w:hAnsi="Arial" w:cs="Arial"/>
        </w:rPr>
        <w:t xml:space="preserve"> to</w:t>
      </w:r>
      <w:r w:rsidR="00C00C38" w:rsidRPr="00904714">
        <w:rPr>
          <w:rFonts w:ascii="Arial" w:hAnsi="Arial" w:cs="Arial"/>
        </w:rPr>
        <w:t xml:space="preserve"> receive funds</w:t>
      </w:r>
      <w:r w:rsidR="00635516">
        <w:rPr>
          <w:rFonts w:ascii="Arial" w:hAnsi="Arial" w:cs="Arial"/>
        </w:rPr>
        <w:t xml:space="preserve"> </w:t>
      </w:r>
      <w:r w:rsidR="00C00C38" w:rsidRPr="00904714">
        <w:rPr>
          <w:rFonts w:ascii="Arial" w:hAnsi="Arial" w:cs="Arial"/>
        </w:rPr>
        <w:t xml:space="preserve">to collaborate </w:t>
      </w:r>
      <w:r w:rsidR="005C2FE0" w:rsidRPr="00904714">
        <w:rPr>
          <w:rFonts w:ascii="Arial" w:hAnsi="Arial" w:cs="Arial"/>
        </w:rPr>
        <w:t xml:space="preserve">with a public university </w:t>
      </w:r>
      <w:r w:rsidR="00C00C38" w:rsidRPr="00904714">
        <w:rPr>
          <w:rFonts w:ascii="Arial" w:hAnsi="Arial" w:cs="Arial"/>
        </w:rPr>
        <w:t>in research activities under the proposed</w:t>
      </w:r>
      <w:r w:rsidR="00635516">
        <w:rPr>
          <w:rFonts w:ascii="Arial" w:hAnsi="Arial" w:cs="Arial"/>
        </w:rPr>
        <w:t xml:space="preserve"> </w:t>
      </w:r>
      <w:r w:rsidR="00C00C38" w:rsidRPr="00904714">
        <w:rPr>
          <w:rFonts w:ascii="Arial" w:hAnsi="Arial" w:cs="Arial"/>
        </w:rPr>
        <w:t>language</w:t>
      </w:r>
      <w:r w:rsidR="005C2FE0" w:rsidRPr="00904714">
        <w:rPr>
          <w:rFonts w:ascii="Arial" w:hAnsi="Arial" w:cs="Arial"/>
        </w:rPr>
        <w:t>.</w:t>
      </w:r>
    </w:p>
    <w:p w14:paraId="253616A3" w14:textId="00F7FA5F" w:rsidR="00094682" w:rsidRDefault="004A3D0F" w:rsidP="007E7087">
      <w:pPr>
        <w:spacing w:after="120"/>
        <w:ind w:right="-720"/>
        <w:jc w:val="both"/>
        <w:rPr>
          <w:rFonts w:ascii="Arial" w:hAnsi="Arial" w:cs="Arial"/>
          <w:b/>
          <w:sz w:val="28"/>
          <w:szCs w:val="28"/>
        </w:rPr>
      </w:pPr>
      <w:r w:rsidRPr="00904714">
        <w:rPr>
          <w:rFonts w:ascii="Arial" w:hAnsi="Arial" w:cs="Arial"/>
        </w:rPr>
        <w:t>To assure the quality, independence and integrity of research findings to understand this major new legal industry and its regulation, this language should urgently revised.</w:t>
      </w:r>
    </w:p>
    <w:p w14:paraId="0A4FDB85" w14:textId="77777777" w:rsidR="00094682" w:rsidRDefault="00094682" w:rsidP="00B9372B">
      <w:pPr>
        <w:rPr>
          <w:rFonts w:ascii="Arial" w:hAnsi="Arial" w:cs="Arial"/>
          <w:b/>
          <w:sz w:val="28"/>
          <w:szCs w:val="28"/>
        </w:rPr>
      </w:pPr>
    </w:p>
    <w:p w14:paraId="07EBB7C8" w14:textId="4EB3318E" w:rsidR="0062020D" w:rsidRPr="00C21E17" w:rsidRDefault="0062020D" w:rsidP="0062020D">
      <w:pPr>
        <w:jc w:val="center"/>
        <w:rPr>
          <w:rFonts w:ascii="Arial" w:hAnsi="Arial" w:cs="Arial"/>
          <w:sz w:val="28"/>
          <w:szCs w:val="28"/>
        </w:rPr>
      </w:pPr>
      <w:r w:rsidRPr="00C21E17">
        <w:rPr>
          <w:rFonts w:ascii="Arial" w:hAnsi="Arial" w:cs="Arial"/>
          <w:b/>
          <w:sz w:val="28"/>
          <w:szCs w:val="28"/>
        </w:rPr>
        <w:t>Conclusion</w:t>
      </w:r>
      <w:r w:rsidRPr="00C21E17">
        <w:rPr>
          <w:rFonts w:ascii="Arial" w:hAnsi="Arial" w:cs="Arial"/>
          <w:sz w:val="28"/>
          <w:szCs w:val="28"/>
        </w:rPr>
        <w:br/>
      </w:r>
    </w:p>
    <w:p w14:paraId="4C59EB73" w14:textId="444CBADF" w:rsidR="0062020D" w:rsidRDefault="0062020D" w:rsidP="007E7087">
      <w:pPr>
        <w:tabs>
          <w:tab w:val="left" w:pos="360"/>
        </w:tabs>
        <w:spacing w:after="120"/>
        <w:ind w:right="-720"/>
        <w:jc w:val="both"/>
        <w:rPr>
          <w:rFonts w:ascii="Arial" w:hAnsi="Arial" w:cs="Arial"/>
        </w:rPr>
      </w:pPr>
      <w:r>
        <w:rPr>
          <w:rFonts w:ascii="Arial" w:hAnsi="Arial" w:cs="Arial"/>
        </w:rPr>
        <w:t>In summary, while t</w:t>
      </w:r>
      <w:r w:rsidRPr="00B430AA">
        <w:rPr>
          <w:rFonts w:ascii="Arial" w:hAnsi="Arial" w:cs="Arial"/>
        </w:rPr>
        <w:t>he science surrounding the potential harms and benefits of m</w:t>
      </w:r>
      <w:r>
        <w:rPr>
          <w:rFonts w:ascii="Arial" w:hAnsi="Arial" w:cs="Arial"/>
        </w:rPr>
        <w:t xml:space="preserve">edical cannabis is evolving, clearly identified risks </w:t>
      </w:r>
      <w:r w:rsidR="00456C0C">
        <w:rPr>
          <w:rFonts w:ascii="Arial" w:hAnsi="Arial" w:cs="Arial"/>
        </w:rPr>
        <w:t xml:space="preserve">during pregnancy, of </w:t>
      </w:r>
      <w:r w:rsidRPr="00B430AA">
        <w:rPr>
          <w:rFonts w:ascii="Arial" w:hAnsi="Arial" w:cs="Arial"/>
        </w:rPr>
        <w:t>dependenc</w:t>
      </w:r>
      <w:r w:rsidR="00456C0C">
        <w:rPr>
          <w:rFonts w:ascii="Arial" w:hAnsi="Arial" w:cs="Arial"/>
        </w:rPr>
        <w:t>y</w:t>
      </w:r>
      <w:r w:rsidRPr="00B430AA">
        <w:rPr>
          <w:rFonts w:ascii="Arial" w:hAnsi="Arial" w:cs="Arial"/>
        </w:rPr>
        <w:t xml:space="preserve">, </w:t>
      </w:r>
      <w:r w:rsidR="0007353B">
        <w:rPr>
          <w:rFonts w:ascii="Arial" w:hAnsi="Arial" w:cs="Arial"/>
        </w:rPr>
        <w:t>motor vehic</w:t>
      </w:r>
      <w:r w:rsidR="00456C0C">
        <w:rPr>
          <w:rFonts w:ascii="Arial" w:hAnsi="Arial" w:cs="Arial"/>
        </w:rPr>
        <w:t xml:space="preserve">le accidents, </w:t>
      </w:r>
      <w:r w:rsidRPr="00B430AA">
        <w:rPr>
          <w:rFonts w:ascii="Arial" w:hAnsi="Arial" w:cs="Arial"/>
        </w:rPr>
        <w:t>pulmonary disease, and</w:t>
      </w:r>
      <w:r>
        <w:rPr>
          <w:rFonts w:ascii="Arial" w:hAnsi="Arial" w:cs="Arial"/>
        </w:rPr>
        <w:t xml:space="preserve"> </w:t>
      </w:r>
      <w:r w:rsidR="00456C0C">
        <w:rPr>
          <w:rFonts w:ascii="Arial" w:hAnsi="Arial" w:cs="Arial"/>
        </w:rPr>
        <w:t>to</w:t>
      </w:r>
      <w:r>
        <w:rPr>
          <w:rFonts w:ascii="Arial" w:hAnsi="Arial" w:cs="Arial"/>
        </w:rPr>
        <w:t xml:space="preserve"> mental health, </w:t>
      </w:r>
      <w:r w:rsidR="0007353B">
        <w:rPr>
          <w:rFonts w:ascii="Arial" w:hAnsi="Arial" w:cs="Arial"/>
        </w:rPr>
        <w:t xml:space="preserve">as well as growing concern for cardiovascular health and youth neurological outcomes, </w:t>
      </w:r>
      <w:r>
        <w:rPr>
          <w:rFonts w:ascii="Arial" w:hAnsi="Arial" w:cs="Arial"/>
        </w:rPr>
        <w:t xml:space="preserve">amongst </w:t>
      </w:r>
      <w:r w:rsidRPr="00B430AA">
        <w:rPr>
          <w:rFonts w:ascii="Arial" w:hAnsi="Arial" w:cs="Arial"/>
        </w:rPr>
        <w:t xml:space="preserve">other concerns </w:t>
      </w:r>
      <w:r>
        <w:rPr>
          <w:rFonts w:ascii="Arial" w:hAnsi="Arial" w:cs="Arial"/>
        </w:rPr>
        <w:t xml:space="preserve">require </w:t>
      </w:r>
      <w:r w:rsidRPr="003F7BA2">
        <w:rPr>
          <w:rFonts w:ascii="Arial" w:hAnsi="Arial" w:cs="Arial"/>
          <w:b/>
        </w:rPr>
        <w:t xml:space="preserve">a </w:t>
      </w:r>
      <w:r w:rsidR="0007353B">
        <w:rPr>
          <w:rFonts w:ascii="Arial" w:hAnsi="Arial" w:cs="Arial"/>
          <w:b/>
        </w:rPr>
        <w:t xml:space="preserve">far more </w:t>
      </w:r>
      <w:r>
        <w:rPr>
          <w:rFonts w:ascii="Arial" w:hAnsi="Arial" w:cs="Arial"/>
          <w:b/>
        </w:rPr>
        <w:t>cautious</w:t>
      </w:r>
      <w:r w:rsidRPr="003F7BA2">
        <w:rPr>
          <w:rFonts w:ascii="Arial" w:hAnsi="Arial" w:cs="Arial"/>
          <w:b/>
        </w:rPr>
        <w:t xml:space="preserve"> approach</w:t>
      </w:r>
      <w:r>
        <w:rPr>
          <w:rFonts w:ascii="Arial" w:hAnsi="Arial" w:cs="Arial"/>
          <w:b/>
        </w:rPr>
        <w:t xml:space="preserve"> to rolling out legalization</w:t>
      </w:r>
      <w:r w:rsidRPr="00B430AA">
        <w:rPr>
          <w:rFonts w:ascii="Arial" w:hAnsi="Arial" w:cs="Arial"/>
        </w:rPr>
        <w:t>.</w:t>
      </w:r>
      <w:r>
        <w:rPr>
          <w:rFonts w:ascii="Arial" w:hAnsi="Arial" w:cs="Arial"/>
        </w:rPr>
        <w:t xml:space="preserve"> </w:t>
      </w:r>
    </w:p>
    <w:p w14:paraId="28CC729A" w14:textId="06738D5F" w:rsidR="0062020D" w:rsidRDefault="0062020D" w:rsidP="007E7087">
      <w:pPr>
        <w:spacing w:after="120"/>
        <w:ind w:right="-720"/>
        <w:jc w:val="both"/>
        <w:rPr>
          <w:rFonts w:ascii="Arial" w:hAnsi="Arial" w:cs="Arial"/>
        </w:rPr>
      </w:pPr>
      <w:r w:rsidRPr="00D10959">
        <w:rPr>
          <w:rFonts w:ascii="Arial" w:hAnsi="Arial" w:cs="Arial"/>
        </w:rPr>
        <w:t>The BCC’s proposed regulations are an important step in the process of bringing the cannabis industry into the light and away from its status as an under-regulated industry.</w:t>
      </w:r>
      <w:r>
        <w:rPr>
          <w:rFonts w:ascii="Arial" w:hAnsi="Arial" w:cs="Arial"/>
        </w:rPr>
        <w:t xml:space="preserve"> While some of the Bureau’s provisions adopt </w:t>
      </w:r>
      <w:r w:rsidRPr="00B430AA">
        <w:rPr>
          <w:rFonts w:ascii="Arial" w:hAnsi="Arial" w:cs="Arial"/>
        </w:rPr>
        <w:t xml:space="preserve">best practices, </w:t>
      </w:r>
      <w:r>
        <w:rPr>
          <w:rFonts w:ascii="Arial" w:hAnsi="Arial" w:cs="Arial"/>
        </w:rPr>
        <w:t xml:space="preserve">they </w:t>
      </w:r>
      <w:r w:rsidRPr="00B430AA">
        <w:rPr>
          <w:rFonts w:ascii="Arial" w:hAnsi="Arial" w:cs="Arial"/>
        </w:rPr>
        <w:t>fall short in other areas.</w:t>
      </w:r>
      <w:r>
        <w:rPr>
          <w:rFonts w:ascii="Arial" w:hAnsi="Arial" w:cs="Arial"/>
        </w:rPr>
        <w:t xml:space="preserve"> T</w:t>
      </w:r>
      <w:r w:rsidRPr="00D10959">
        <w:rPr>
          <w:rFonts w:ascii="Arial" w:hAnsi="Arial" w:cs="Arial"/>
        </w:rPr>
        <w:t xml:space="preserve">he </w:t>
      </w:r>
      <w:r>
        <w:rPr>
          <w:rFonts w:ascii="Arial" w:hAnsi="Arial" w:cs="Arial"/>
        </w:rPr>
        <w:t>proposed text of</w:t>
      </w:r>
      <w:r w:rsidRPr="00D10959">
        <w:rPr>
          <w:rFonts w:ascii="Arial" w:hAnsi="Arial" w:cs="Arial"/>
        </w:rPr>
        <w:t xml:space="preserve"> regulations risk permitting an excess of licensed facilities</w:t>
      </w:r>
      <w:r>
        <w:rPr>
          <w:rFonts w:ascii="Arial" w:hAnsi="Arial" w:cs="Arial"/>
        </w:rPr>
        <w:t xml:space="preserve">, </w:t>
      </w:r>
      <w:r w:rsidRPr="00D10959">
        <w:rPr>
          <w:rFonts w:ascii="Arial" w:hAnsi="Arial" w:cs="Arial"/>
        </w:rPr>
        <w:t xml:space="preserve">fail to advance any proposals to assure greater equity in access to licenses, set daily </w:t>
      </w:r>
      <w:r>
        <w:rPr>
          <w:rFonts w:ascii="Arial" w:hAnsi="Arial" w:cs="Arial"/>
        </w:rPr>
        <w:t xml:space="preserve">sales </w:t>
      </w:r>
      <w:r w:rsidRPr="00D10959">
        <w:rPr>
          <w:rFonts w:ascii="Arial" w:hAnsi="Arial" w:cs="Arial"/>
        </w:rPr>
        <w:t xml:space="preserve">limits which are excessive, </w:t>
      </w:r>
      <w:r w:rsidR="00555D44">
        <w:rPr>
          <w:rFonts w:ascii="Arial" w:hAnsi="Arial" w:cs="Arial"/>
        </w:rPr>
        <w:t xml:space="preserve">allow the shift to high potency products to continue unabated, </w:t>
      </w:r>
      <w:r>
        <w:rPr>
          <w:rFonts w:ascii="Arial" w:hAnsi="Arial" w:cs="Arial"/>
        </w:rPr>
        <w:t xml:space="preserve">and </w:t>
      </w:r>
      <w:r w:rsidRPr="00D10959">
        <w:rPr>
          <w:rFonts w:ascii="Arial" w:hAnsi="Arial" w:cs="Arial"/>
        </w:rPr>
        <w:t>fa</w:t>
      </w:r>
      <w:r>
        <w:rPr>
          <w:rFonts w:ascii="Arial" w:hAnsi="Arial" w:cs="Arial"/>
        </w:rPr>
        <w:t>il to inform customers of risks</w:t>
      </w:r>
      <w:r w:rsidR="00D90F4B">
        <w:rPr>
          <w:rFonts w:ascii="Arial" w:hAnsi="Arial" w:cs="Arial"/>
        </w:rPr>
        <w:t>, and establish a research administration plan that ignores successful California models and  would greatly diminish the effectiveness of allocated research funding</w:t>
      </w:r>
      <w:r w:rsidRPr="00D10959">
        <w:rPr>
          <w:rFonts w:ascii="Arial" w:hAnsi="Arial" w:cs="Arial"/>
        </w:rPr>
        <w:t xml:space="preserve">. </w:t>
      </w:r>
      <w:r>
        <w:rPr>
          <w:rFonts w:ascii="Arial" w:hAnsi="Arial" w:cs="Arial"/>
        </w:rPr>
        <w:t xml:space="preserve">Permitting relatively unfettered marketing and outlets is deeply unwise. </w:t>
      </w:r>
      <w:r w:rsidRPr="00B430AA">
        <w:rPr>
          <w:rFonts w:ascii="Arial" w:hAnsi="Arial" w:cs="Arial"/>
        </w:rPr>
        <w:t xml:space="preserve">Incorporating </w:t>
      </w:r>
      <w:r>
        <w:rPr>
          <w:rFonts w:ascii="Arial" w:hAnsi="Arial" w:cs="Arial"/>
        </w:rPr>
        <w:t>lessons learned</w:t>
      </w:r>
      <w:r w:rsidRPr="00B430AA">
        <w:rPr>
          <w:rFonts w:ascii="Arial" w:hAnsi="Arial" w:cs="Arial"/>
        </w:rPr>
        <w:t xml:space="preserve"> from tobacco and alcohol control</w:t>
      </w:r>
      <w:r w:rsidR="0007353B">
        <w:rPr>
          <w:rFonts w:ascii="Arial" w:hAnsi="Arial" w:cs="Arial"/>
        </w:rPr>
        <w:t xml:space="preserve"> and from other states legalizing marijuana</w:t>
      </w:r>
      <w:r w:rsidRPr="00B430AA">
        <w:rPr>
          <w:rFonts w:ascii="Arial" w:hAnsi="Arial" w:cs="Arial"/>
        </w:rPr>
        <w:t xml:space="preserve"> </w:t>
      </w:r>
      <w:r>
        <w:rPr>
          <w:rFonts w:ascii="Arial" w:hAnsi="Arial" w:cs="Arial"/>
        </w:rPr>
        <w:t xml:space="preserve">is essential to promote </w:t>
      </w:r>
      <w:r w:rsidRPr="00B430AA">
        <w:rPr>
          <w:rFonts w:ascii="Arial" w:hAnsi="Arial" w:cs="Arial"/>
        </w:rPr>
        <w:t>a functional and well-regulated cannabis system that prioritizes protection of public health over business interests in the State of California.</w:t>
      </w:r>
    </w:p>
    <w:p w14:paraId="5A0EF315" w14:textId="61F2655E" w:rsidR="005244C5" w:rsidRPr="0054635B" w:rsidRDefault="0062020D" w:rsidP="007E7087">
      <w:pPr>
        <w:spacing w:after="120"/>
        <w:ind w:right="-720"/>
        <w:jc w:val="both"/>
        <w:rPr>
          <w:rFonts w:ascii="Arial" w:hAnsi="Arial" w:cs="Arial"/>
        </w:rPr>
      </w:pPr>
      <w:r w:rsidRPr="00D10959">
        <w:rPr>
          <w:rFonts w:ascii="Arial" w:hAnsi="Arial" w:cs="Arial"/>
        </w:rPr>
        <w:t>The</w:t>
      </w:r>
      <w:r>
        <w:rPr>
          <w:rFonts w:ascii="Arial" w:hAnsi="Arial" w:cs="Arial"/>
        </w:rPr>
        <w:t>se</w:t>
      </w:r>
      <w:r w:rsidRPr="00D10959">
        <w:rPr>
          <w:rFonts w:ascii="Arial" w:hAnsi="Arial" w:cs="Arial"/>
        </w:rPr>
        <w:t xml:space="preserve"> issues should be corrected in the regulation, </w:t>
      </w:r>
      <w:r>
        <w:rPr>
          <w:rFonts w:ascii="Arial" w:hAnsi="Arial" w:cs="Arial"/>
        </w:rPr>
        <w:t xml:space="preserve">with most urgent attention to </w:t>
      </w:r>
      <w:r w:rsidRPr="00D10959">
        <w:rPr>
          <w:rFonts w:ascii="Arial" w:hAnsi="Arial" w:cs="Arial"/>
        </w:rPr>
        <w:t>those which would very difficult to reverse in the future, such as issuance of excessive licenses.</w:t>
      </w:r>
    </w:p>
    <w:p w14:paraId="0A32008C" w14:textId="2B27B67E" w:rsidR="003A7802" w:rsidRPr="0054635B" w:rsidRDefault="003A7802" w:rsidP="007E7087">
      <w:pPr>
        <w:tabs>
          <w:tab w:val="left" w:pos="360"/>
        </w:tabs>
        <w:spacing w:after="120"/>
        <w:ind w:right="-720"/>
        <w:outlineLvl w:val="0"/>
        <w:rPr>
          <w:rFonts w:ascii="Arial" w:hAnsi="Arial" w:cs="Arial"/>
        </w:rPr>
      </w:pPr>
      <w:r w:rsidRPr="0054635B">
        <w:rPr>
          <w:rFonts w:ascii="Arial" w:hAnsi="Arial" w:cs="Arial"/>
        </w:rPr>
        <w:t xml:space="preserve">Thank you for considering these recommendations. </w:t>
      </w:r>
    </w:p>
    <w:p w14:paraId="3B4BA38C" w14:textId="77777777" w:rsidR="003A7802" w:rsidRPr="0054635B" w:rsidRDefault="003A7802" w:rsidP="007E7087">
      <w:pPr>
        <w:tabs>
          <w:tab w:val="left" w:pos="360"/>
        </w:tabs>
        <w:spacing w:after="120"/>
        <w:rPr>
          <w:rFonts w:ascii="Arial" w:hAnsi="Arial" w:cs="Arial"/>
        </w:rPr>
      </w:pPr>
    </w:p>
    <w:p w14:paraId="5FCE1487" w14:textId="77777777" w:rsidR="003A7802" w:rsidRPr="0054635B" w:rsidRDefault="003A7802" w:rsidP="007E7087">
      <w:pPr>
        <w:tabs>
          <w:tab w:val="left" w:pos="360"/>
        </w:tabs>
        <w:spacing w:after="120"/>
        <w:rPr>
          <w:rFonts w:ascii="Arial" w:hAnsi="Arial" w:cs="Arial"/>
        </w:rPr>
      </w:pPr>
      <w:r w:rsidRPr="0054635B">
        <w:rPr>
          <w:rFonts w:ascii="Arial" w:hAnsi="Arial" w:cs="Arial"/>
        </w:rPr>
        <w:t xml:space="preserve">Sincerely, </w:t>
      </w:r>
    </w:p>
    <w:p w14:paraId="7FF6786C" w14:textId="77777777" w:rsidR="003A7802" w:rsidRPr="0054635B" w:rsidRDefault="003A7802" w:rsidP="003A7802">
      <w:pPr>
        <w:tabs>
          <w:tab w:val="left" w:pos="360"/>
        </w:tabs>
        <w:rPr>
          <w:rFonts w:ascii="Arial" w:hAnsi="Arial" w:cs="Arial"/>
        </w:rPr>
      </w:pPr>
    </w:p>
    <w:p w14:paraId="2D76D154" w14:textId="77777777" w:rsidR="003A7802" w:rsidRPr="0054635B" w:rsidRDefault="003A7802" w:rsidP="003A7802">
      <w:pPr>
        <w:tabs>
          <w:tab w:val="left" w:pos="360"/>
        </w:tabs>
        <w:rPr>
          <w:rFonts w:ascii="Arial" w:hAnsi="Arial" w:cs="Arial"/>
        </w:rPr>
      </w:pPr>
    </w:p>
    <w:p w14:paraId="4249545D" w14:textId="77777777" w:rsidR="003A7802" w:rsidRPr="0054635B" w:rsidRDefault="003A7802" w:rsidP="003A7802">
      <w:pPr>
        <w:tabs>
          <w:tab w:val="left" w:pos="360"/>
        </w:tabs>
        <w:rPr>
          <w:rFonts w:ascii="Arial" w:hAnsi="Arial" w:cs="Arial"/>
        </w:rPr>
      </w:pPr>
      <w:r w:rsidRPr="0054635B">
        <w:rPr>
          <w:rFonts w:ascii="Arial" w:hAnsi="Arial" w:cs="Arial"/>
          <w:highlight w:val="yellow"/>
        </w:rPr>
        <w:t>[INSERT SIGNATURE(S)]</w:t>
      </w:r>
    </w:p>
    <w:p w14:paraId="6D8EEEF7" w14:textId="77777777" w:rsidR="003A7802" w:rsidRPr="00FB7E57" w:rsidRDefault="003A7802">
      <w:pPr>
        <w:rPr>
          <w:rFonts w:ascii="Arial" w:hAnsi="Arial" w:cs="Arial"/>
        </w:rPr>
      </w:pPr>
    </w:p>
    <w:sectPr w:rsidR="003A7802" w:rsidRPr="00FB7E57" w:rsidSect="003B3F2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1C7C" w14:textId="77777777" w:rsidR="00B332A8" w:rsidRDefault="00B332A8" w:rsidP="002A559B">
      <w:r>
        <w:separator/>
      </w:r>
    </w:p>
  </w:endnote>
  <w:endnote w:type="continuationSeparator" w:id="0">
    <w:p w14:paraId="20587EC2" w14:textId="77777777" w:rsidR="00B332A8" w:rsidRDefault="00B332A8" w:rsidP="002A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roxima Nova Alt Rg">
    <w:altName w:val="Tahom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9624304"/>
      <w:docPartObj>
        <w:docPartGallery w:val="Page Numbers (Bottom of Page)"/>
        <w:docPartUnique/>
      </w:docPartObj>
    </w:sdtPr>
    <w:sdtEndPr>
      <w:rPr>
        <w:rStyle w:val="PageNumber"/>
      </w:rPr>
    </w:sdtEndPr>
    <w:sdtContent>
      <w:p w14:paraId="3560DB50" w14:textId="6F67069C" w:rsidR="00C60810" w:rsidRDefault="00C60810" w:rsidP="00DF71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00DDD" w14:textId="77777777" w:rsidR="00C60810" w:rsidRDefault="00C60810" w:rsidP="005C5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8672222"/>
      <w:docPartObj>
        <w:docPartGallery w:val="Page Numbers (Bottom of Page)"/>
        <w:docPartUnique/>
      </w:docPartObj>
    </w:sdtPr>
    <w:sdtEndPr>
      <w:rPr>
        <w:rStyle w:val="PageNumber"/>
      </w:rPr>
    </w:sdtEndPr>
    <w:sdtContent>
      <w:p w14:paraId="09ACDC95" w14:textId="569EBB72" w:rsidR="00C60810" w:rsidRDefault="00C60810" w:rsidP="00DF71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D406A" w14:textId="77777777" w:rsidR="00C60810" w:rsidRDefault="00C60810" w:rsidP="005C5C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5D62" w14:textId="77777777" w:rsidR="00B332A8" w:rsidRDefault="00B332A8" w:rsidP="002A559B">
      <w:r>
        <w:separator/>
      </w:r>
    </w:p>
  </w:footnote>
  <w:footnote w:type="continuationSeparator" w:id="0">
    <w:p w14:paraId="58C335A8" w14:textId="77777777" w:rsidR="00B332A8" w:rsidRDefault="00B332A8" w:rsidP="002A559B">
      <w:r>
        <w:continuationSeparator/>
      </w:r>
    </w:p>
  </w:footnote>
  <w:footnote w:id="1">
    <w:p w14:paraId="2A0B8040" w14:textId="759C455F" w:rsidR="00C60810" w:rsidRPr="008B04E4" w:rsidRDefault="00C60810" w:rsidP="00DC2E66">
      <w:pPr>
        <w:pStyle w:val="EndNoteBibliography"/>
        <w:spacing w:after="0"/>
        <w:ind w:right="-720"/>
        <w:rPr>
          <w:rFonts w:ascii="Arial" w:hAnsi="Arial" w:cs="Arial"/>
          <w:sz w:val="16"/>
          <w:szCs w:val="16"/>
        </w:rPr>
      </w:pPr>
      <w:r w:rsidRPr="008B04E4">
        <w:rPr>
          <w:rStyle w:val="FootnoteReference"/>
          <w:rFonts w:ascii="Arial" w:hAnsi="Arial" w:cs="Arial"/>
          <w:sz w:val="16"/>
          <w:szCs w:val="16"/>
        </w:rPr>
        <w:footnoteRef/>
      </w:r>
      <w:r>
        <w:rPr>
          <w:rFonts w:ascii="Arial" w:hAnsi="Arial" w:cs="Arial"/>
          <w:sz w:val="16"/>
          <w:szCs w:val="16"/>
        </w:rPr>
        <w:t xml:space="preserve"> National Academies. (2017).</w:t>
      </w:r>
      <w:r w:rsidRPr="008B04E4">
        <w:rPr>
          <w:rFonts w:ascii="Arial" w:hAnsi="Arial" w:cs="Arial"/>
          <w:sz w:val="16"/>
          <w:szCs w:val="16"/>
        </w:rPr>
        <w:t xml:space="preserve"> </w:t>
      </w:r>
      <w:r w:rsidRPr="008B04E4">
        <w:rPr>
          <w:rFonts w:ascii="Arial" w:hAnsi="Arial" w:cs="Arial"/>
          <w:i/>
          <w:sz w:val="16"/>
          <w:szCs w:val="16"/>
        </w:rPr>
        <w:t>The Health Effects of Cannabis and Cannabinoids: The Current State of Evidence and Recommendations for Research</w:t>
      </w:r>
      <w:r>
        <w:rPr>
          <w:rFonts w:ascii="Arial" w:hAnsi="Arial" w:cs="Arial"/>
          <w:sz w:val="16"/>
          <w:szCs w:val="16"/>
        </w:rPr>
        <w:t xml:space="preserve">. </w:t>
      </w:r>
      <w:r w:rsidRPr="008B04E4">
        <w:rPr>
          <w:rFonts w:ascii="Arial" w:hAnsi="Arial" w:cs="Arial"/>
          <w:sz w:val="16"/>
          <w:szCs w:val="16"/>
        </w:rPr>
        <w:t>The National Academies Press: Washington, DC.</w:t>
      </w:r>
    </w:p>
  </w:footnote>
  <w:footnote w:id="2">
    <w:p w14:paraId="1643E182" w14:textId="55B024B4"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w:t>
      </w:r>
      <w:proofErr w:type="spellStart"/>
      <w:r w:rsidRPr="008B04E4">
        <w:rPr>
          <w:rFonts w:ascii="Arial" w:hAnsi="Arial" w:cs="Arial"/>
          <w:sz w:val="16"/>
          <w:szCs w:val="16"/>
        </w:rPr>
        <w:t>Yankey</w:t>
      </w:r>
      <w:proofErr w:type="spellEnd"/>
      <w:r w:rsidRPr="008B04E4">
        <w:rPr>
          <w:rFonts w:ascii="Arial" w:hAnsi="Arial" w:cs="Arial"/>
          <w:sz w:val="16"/>
          <w:szCs w:val="16"/>
        </w:rPr>
        <w:t xml:space="preserve">, B.A., et al., </w:t>
      </w:r>
      <w:r>
        <w:rPr>
          <w:rFonts w:ascii="Arial" w:hAnsi="Arial" w:cs="Arial"/>
          <w:sz w:val="16"/>
          <w:szCs w:val="16"/>
        </w:rPr>
        <w:t xml:space="preserve">(2017). </w:t>
      </w:r>
      <w:r w:rsidRPr="008B04E4">
        <w:rPr>
          <w:rFonts w:ascii="Arial" w:hAnsi="Arial" w:cs="Arial"/>
          <w:sz w:val="16"/>
          <w:szCs w:val="16"/>
        </w:rPr>
        <w:t>Effect of marijuana use on cardiovascular and cerebrovascular mortality: A study using the National Health and Nutrition Examination Survey linked mortality file</w:t>
      </w:r>
      <w:r w:rsidRPr="008B04E4">
        <w:rPr>
          <w:rFonts w:ascii="Arial" w:hAnsi="Arial" w:cs="Arial"/>
          <w:i/>
          <w:sz w:val="16"/>
          <w:szCs w:val="16"/>
        </w:rPr>
        <w:t xml:space="preserve">. </w:t>
      </w:r>
      <w:proofErr w:type="spellStart"/>
      <w:r w:rsidRPr="008B04E4">
        <w:rPr>
          <w:rFonts w:ascii="Arial" w:hAnsi="Arial" w:cs="Arial"/>
          <w:i/>
          <w:sz w:val="16"/>
          <w:szCs w:val="16"/>
        </w:rPr>
        <w:t>Eur</w:t>
      </w:r>
      <w:proofErr w:type="spellEnd"/>
      <w:r w:rsidRPr="008B04E4">
        <w:rPr>
          <w:rFonts w:ascii="Arial" w:hAnsi="Arial" w:cs="Arial"/>
          <w:i/>
          <w:sz w:val="16"/>
          <w:szCs w:val="16"/>
        </w:rPr>
        <w:t xml:space="preserve"> J </w:t>
      </w:r>
      <w:proofErr w:type="spellStart"/>
      <w:r w:rsidRPr="008B04E4">
        <w:rPr>
          <w:rFonts w:ascii="Arial" w:hAnsi="Arial" w:cs="Arial"/>
          <w:i/>
          <w:sz w:val="16"/>
          <w:szCs w:val="16"/>
        </w:rPr>
        <w:t>Prev</w:t>
      </w:r>
      <w:proofErr w:type="spellEnd"/>
      <w:r w:rsidRPr="008B04E4">
        <w:rPr>
          <w:rFonts w:ascii="Arial" w:hAnsi="Arial" w:cs="Arial"/>
          <w:i/>
          <w:sz w:val="16"/>
          <w:szCs w:val="16"/>
        </w:rPr>
        <w:t xml:space="preserve"> Cardiol,</w:t>
      </w:r>
      <w:r>
        <w:rPr>
          <w:rFonts w:ascii="Arial" w:hAnsi="Arial" w:cs="Arial"/>
          <w:i/>
          <w:sz w:val="16"/>
          <w:szCs w:val="16"/>
        </w:rPr>
        <w:t>24</w:t>
      </w:r>
      <w:r>
        <w:rPr>
          <w:rFonts w:ascii="Arial" w:hAnsi="Arial" w:cs="Arial"/>
          <w:sz w:val="16"/>
          <w:szCs w:val="16"/>
        </w:rPr>
        <w:t>(17):1833-1840</w:t>
      </w:r>
      <w:r w:rsidRPr="008B04E4">
        <w:rPr>
          <w:rFonts w:ascii="Arial" w:hAnsi="Arial" w:cs="Arial"/>
          <w:sz w:val="16"/>
          <w:szCs w:val="16"/>
        </w:rPr>
        <w:t>.</w:t>
      </w:r>
    </w:p>
  </w:footnote>
  <w:footnote w:id="3">
    <w:p w14:paraId="452EEBED" w14:textId="4B5A61AF"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w:t>
      </w:r>
      <w:proofErr w:type="spellStart"/>
      <w:r w:rsidRPr="008B04E4">
        <w:rPr>
          <w:rFonts w:ascii="Arial" w:hAnsi="Arial" w:cs="Arial"/>
          <w:sz w:val="16"/>
          <w:szCs w:val="16"/>
        </w:rPr>
        <w:t>Mittleman</w:t>
      </w:r>
      <w:proofErr w:type="spellEnd"/>
      <w:r w:rsidRPr="008B04E4">
        <w:rPr>
          <w:rFonts w:ascii="Arial" w:hAnsi="Arial" w:cs="Arial"/>
          <w:sz w:val="16"/>
          <w:szCs w:val="16"/>
        </w:rPr>
        <w:t>, M.A., et al.,</w:t>
      </w:r>
      <w:r>
        <w:rPr>
          <w:rFonts w:ascii="Arial" w:hAnsi="Arial" w:cs="Arial"/>
          <w:sz w:val="16"/>
          <w:szCs w:val="16"/>
        </w:rPr>
        <w:t xml:space="preserve"> (2001</w:t>
      </w:r>
      <w:r w:rsidRPr="008B04E4">
        <w:rPr>
          <w:rFonts w:ascii="Arial" w:hAnsi="Arial" w:cs="Arial"/>
          <w:sz w:val="16"/>
          <w:szCs w:val="16"/>
        </w:rPr>
        <w:t xml:space="preserve">). Triggering myocardial infarction by marijuana. </w:t>
      </w:r>
      <w:r w:rsidRPr="008B04E4">
        <w:rPr>
          <w:rFonts w:ascii="Arial" w:hAnsi="Arial" w:cs="Arial"/>
          <w:i/>
          <w:sz w:val="16"/>
          <w:szCs w:val="16"/>
        </w:rPr>
        <w:t>Circulation</w:t>
      </w:r>
      <w:r w:rsidRPr="008B04E4">
        <w:rPr>
          <w:rFonts w:ascii="Arial" w:hAnsi="Arial" w:cs="Arial"/>
          <w:sz w:val="16"/>
          <w:szCs w:val="16"/>
        </w:rPr>
        <w:t>.</w:t>
      </w:r>
      <w:r w:rsidRPr="008B04E4">
        <w:rPr>
          <w:rFonts w:ascii="Arial" w:hAnsi="Arial" w:cs="Arial"/>
          <w:i/>
          <w:sz w:val="16"/>
          <w:szCs w:val="16"/>
        </w:rPr>
        <w:t xml:space="preserve"> 103</w:t>
      </w:r>
      <w:r>
        <w:rPr>
          <w:rFonts w:ascii="Arial" w:hAnsi="Arial" w:cs="Arial"/>
          <w:sz w:val="16"/>
          <w:szCs w:val="16"/>
        </w:rPr>
        <w:t>(23):</w:t>
      </w:r>
      <w:r w:rsidRPr="008B04E4">
        <w:rPr>
          <w:rFonts w:ascii="Arial" w:hAnsi="Arial" w:cs="Arial"/>
          <w:sz w:val="16"/>
          <w:szCs w:val="16"/>
        </w:rPr>
        <w:t>2805-9.</w:t>
      </w:r>
    </w:p>
  </w:footnote>
  <w:footnote w:id="4">
    <w:p w14:paraId="341DC9AD" w14:textId="3025F438"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Wang, X., et al., </w:t>
      </w:r>
      <w:r>
        <w:rPr>
          <w:rFonts w:ascii="Arial" w:hAnsi="Arial" w:cs="Arial"/>
          <w:sz w:val="16"/>
          <w:szCs w:val="16"/>
        </w:rPr>
        <w:t xml:space="preserve">(2016). </w:t>
      </w:r>
      <w:r w:rsidRPr="008B04E4">
        <w:rPr>
          <w:rFonts w:ascii="Arial" w:hAnsi="Arial" w:cs="Arial"/>
          <w:sz w:val="16"/>
          <w:szCs w:val="16"/>
        </w:rPr>
        <w:t xml:space="preserve">One Minute of Marijuana Secondhand Smoke Exposure Substantially Impairs Vascular Endothelial Function. </w:t>
      </w:r>
      <w:r w:rsidRPr="008B04E4">
        <w:rPr>
          <w:rFonts w:ascii="Arial" w:hAnsi="Arial" w:cs="Arial"/>
          <w:i/>
          <w:sz w:val="16"/>
          <w:szCs w:val="16"/>
        </w:rPr>
        <w:t>J Am Heart Assoc</w:t>
      </w:r>
      <w:r>
        <w:rPr>
          <w:rFonts w:ascii="Arial" w:hAnsi="Arial" w:cs="Arial"/>
          <w:i/>
          <w:sz w:val="16"/>
          <w:szCs w:val="16"/>
        </w:rPr>
        <w:t>.</w:t>
      </w:r>
      <w:r w:rsidRPr="008B04E4">
        <w:rPr>
          <w:rFonts w:ascii="Arial" w:hAnsi="Arial" w:cs="Arial"/>
          <w:sz w:val="16"/>
          <w:szCs w:val="16"/>
        </w:rPr>
        <w:t xml:space="preserve"> </w:t>
      </w:r>
      <w:r w:rsidRPr="008B04E4">
        <w:rPr>
          <w:rFonts w:ascii="Arial" w:hAnsi="Arial" w:cs="Arial"/>
          <w:i/>
          <w:sz w:val="16"/>
          <w:szCs w:val="16"/>
        </w:rPr>
        <w:t>5</w:t>
      </w:r>
      <w:r w:rsidRPr="008B04E4">
        <w:rPr>
          <w:rFonts w:ascii="Arial" w:hAnsi="Arial" w:cs="Arial"/>
          <w:sz w:val="16"/>
          <w:szCs w:val="16"/>
        </w:rPr>
        <w:t xml:space="preserve">(8). </w:t>
      </w:r>
      <w:proofErr w:type="spellStart"/>
      <w:r w:rsidRPr="008B04E4">
        <w:rPr>
          <w:rFonts w:ascii="Arial" w:hAnsi="Arial" w:cs="Arial"/>
          <w:sz w:val="16"/>
          <w:szCs w:val="16"/>
        </w:rPr>
        <w:t>pii</w:t>
      </w:r>
      <w:proofErr w:type="spellEnd"/>
      <w:r w:rsidRPr="008B04E4">
        <w:rPr>
          <w:rFonts w:ascii="Arial" w:hAnsi="Arial" w:cs="Arial"/>
          <w:sz w:val="16"/>
          <w:szCs w:val="16"/>
        </w:rPr>
        <w:t>: e003858.</w:t>
      </w:r>
    </w:p>
  </w:footnote>
  <w:footnote w:id="5">
    <w:p w14:paraId="75CEBEDF" w14:textId="6884AECA" w:rsidR="00C60810" w:rsidRPr="008B04E4" w:rsidRDefault="00C60810" w:rsidP="00DC2E66">
      <w:pPr>
        <w:pStyle w:val="EndNoteBibliography"/>
        <w:spacing w:after="0"/>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Moir, D., et al., </w:t>
      </w:r>
      <w:r>
        <w:rPr>
          <w:rFonts w:ascii="Arial" w:hAnsi="Arial" w:cs="Arial"/>
          <w:sz w:val="16"/>
          <w:szCs w:val="16"/>
        </w:rPr>
        <w:t xml:space="preserve">(2008). </w:t>
      </w:r>
      <w:r w:rsidRPr="008B04E4">
        <w:rPr>
          <w:rFonts w:ascii="Arial" w:hAnsi="Arial" w:cs="Arial"/>
          <w:sz w:val="16"/>
          <w:szCs w:val="16"/>
        </w:rPr>
        <w:t>A comparison of mainstream and sidestream marijuana and tobacco cigarette smoke produced under two machine smoking conditions</w:t>
      </w:r>
      <w:r w:rsidRPr="008B04E4">
        <w:rPr>
          <w:rFonts w:ascii="Arial" w:hAnsi="Arial" w:cs="Arial"/>
          <w:i/>
          <w:sz w:val="16"/>
          <w:szCs w:val="16"/>
        </w:rPr>
        <w:t>.</w:t>
      </w:r>
      <w:r>
        <w:rPr>
          <w:rFonts w:ascii="Arial" w:hAnsi="Arial" w:cs="Arial"/>
          <w:sz w:val="16"/>
          <w:szCs w:val="16"/>
        </w:rPr>
        <w:t xml:space="preserve"> </w:t>
      </w:r>
      <w:r w:rsidRPr="008B04E4">
        <w:rPr>
          <w:rFonts w:ascii="Arial" w:hAnsi="Arial" w:cs="Arial"/>
          <w:i/>
          <w:sz w:val="16"/>
          <w:szCs w:val="16"/>
        </w:rPr>
        <w:t>Chem Res Toxicol. 21</w:t>
      </w:r>
      <w:r>
        <w:rPr>
          <w:rFonts w:ascii="Arial" w:hAnsi="Arial" w:cs="Arial"/>
          <w:sz w:val="16"/>
          <w:szCs w:val="16"/>
        </w:rPr>
        <w:t>(2):</w:t>
      </w:r>
      <w:r w:rsidRPr="008B04E4">
        <w:rPr>
          <w:rFonts w:ascii="Arial" w:hAnsi="Arial" w:cs="Arial"/>
          <w:sz w:val="16"/>
          <w:szCs w:val="16"/>
        </w:rPr>
        <w:t>494-502.</w:t>
      </w:r>
    </w:p>
  </w:footnote>
  <w:footnote w:id="6">
    <w:p w14:paraId="177D66BA" w14:textId="00C45B0D" w:rsidR="00C60810" w:rsidRPr="00B540E3"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California </w:t>
      </w:r>
      <w:r>
        <w:rPr>
          <w:rFonts w:ascii="Arial" w:hAnsi="Arial" w:cs="Arial"/>
          <w:sz w:val="16"/>
          <w:szCs w:val="16"/>
        </w:rPr>
        <w:t>Environmental Protection Agency. (2017).</w:t>
      </w:r>
      <w:r w:rsidRPr="008B04E4">
        <w:rPr>
          <w:rFonts w:ascii="Arial" w:hAnsi="Arial" w:cs="Arial"/>
          <w:sz w:val="16"/>
          <w:szCs w:val="16"/>
        </w:rPr>
        <w:t xml:space="preserve"> </w:t>
      </w:r>
      <w:r w:rsidRPr="008B04E4">
        <w:rPr>
          <w:rFonts w:ascii="Arial" w:hAnsi="Arial" w:cs="Arial"/>
          <w:i/>
          <w:sz w:val="16"/>
          <w:szCs w:val="16"/>
        </w:rPr>
        <w:t>Chemicals Known to the State to Cause Cancer or Reproductive Toxicity</w:t>
      </w:r>
      <w:r w:rsidRPr="008B04E4">
        <w:rPr>
          <w:rFonts w:ascii="Arial" w:hAnsi="Arial" w:cs="Arial"/>
          <w:sz w:val="16"/>
          <w:szCs w:val="16"/>
        </w:rPr>
        <w:t xml:space="preserve">, Office of Environmental Health </w:t>
      </w:r>
      <w:r>
        <w:rPr>
          <w:rFonts w:ascii="Arial" w:hAnsi="Arial" w:cs="Arial"/>
          <w:sz w:val="16"/>
          <w:szCs w:val="16"/>
        </w:rPr>
        <w:t>Hazard Assessment, Editor:</w:t>
      </w:r>
      <w:r w:rsidRPr="008B04E4">
        <w:rPr>
          <w:rFonts w:ascii="Arial" w:hAnsi="Arial" w:cs="Arial"/>
          <w:sz w:val="16"/>
          <w:szCs w:val="16"/>
        </w:rPr>
        <w:t xml:space="preserve"> </w:t>
      </w:r>
      <w:r w:rsidRPr="00B540E3">
        <w:rPr>
          <w:rStyle w:val="Hyperlink"/>
          <w:rFonts w:ascii="Arial" w:hAnsi="Arial" w:cs="Arial"/>
          <w:color w:val="auto"/>
          <w:sz w:val="16"/>
          <w:szCs w:val="16"/>
          <w:u w:val="none"/>
        </w:rPr>
        <w:t>https://oehha.ca.gov/media/downloads/proposition-65/p65single01272017.pdf</w:t>
      </w:r>
    </w:p>
  </w:footnote>
  <w:footnote w:id="7">
    <w:p w14:paraId="40DAAED5" w14:textId="21AC7089"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Tomar</w:t>
      </w:r>
      <w:proofErr w:type="spellEnd"/>
      <w:r>
        <w:rPr>
          <w:rFonts w:ascii="Arial" w:hAnsi="Arial" w:cs="Arial"/>
          <w:sz w:val="16"/>
          <w:szCs w:val="16"/>
        </w:rPr>
        <w:t xml:space="preserve">, R.S., </w:t>
      </w:r>
      <w:r w:rsidRPr="008B04E4">
        <w:rPr>
          <w:rFonts w:ascii="Arial" w:hAnsi="Arial" w:cs="Arial"/>
          <w:sz w:val="16"/>
          <w:szCs w:val="16"/>
        </w:rPr>
        <w:t>Beaumont,</w:t>
      </w:r>
      <w:r>
        <w:rPr>
          <w:rFonts w:ascii="Arial" w:hAnsi="Arial" w:cs="Arial"/>
          <w:sz w:val="16"/>
          <w:szCs w:val="16"/>
        </w:rPr>
        <w:t xml:space="preserve"> J.</w:t>
      </w:r>
      <w:r w:rsidRPr="008B04E4">
        <w:rPr>
          <w:rFonts w:ascii="Arial" w:hAnsi="Arial" w:cs="Arial"/>
          <w:sz w:val="16"/>
          <w:szCs w:val="16"/>
        </w:rPr>
        <w:t xml:space="preserve"> and Hsieh,</w:t>
      </w:r>
      <w:r>
        <w:rPr>
          <w:rFonts w:ascii="Arial" w:hAnsi="Arial" w:cs="Arial"/>
          <w:sz w:val="16"/>
          <w:szCs w:val="16"/>
        </w:rPr>
        <w:t xml:space="preserve"> </w:t>
      </w:r>
      <w:r w:rsidRPr="008B04E4">
        <w:rPr>
          <w:rFonts w:ascii="Arial" w:hAnsi="Arial" w:cs="Arial"/>
          <w:sz w:val="16"/>
          <w:szCs w:val="16"/>
        </w:rPr>
        <w:t xml:space="preserve">J.C.Y. </w:t>
      </w:r>
      <w:r>
        <w:rPr>
          <w:rFonts w:ascii="Arial" w:hAnsi="Arial" w:cs="Arial"/>
          <w:sz w:val="16"/>
          <w:szCs w:val="16"/>
        </w:rPr>
        <w:t>(2009).</w:t>
      </w:r>
      <w:r w:rsidRPr="008B04E4">
        <w:rPr>
          <w:rFonts w:ascii="Arial" w:hAnsi="Arial" w:cs="Arial"/>
          <w:sz w:val="16"/>
          <w:szCs w:val="16"/>
        </w:rPr>
        <w:t xml:space="preserve"> </w:t>
      </w:r>
      <w:r w:rsidRPr="008B04E4">
        <w:rPr>
          <w:rFonts w:ascii="Arial" w:hAnsi="Arial" w:cs="Arial"/>
          <w:i/>
          <w:sz w:val="16"/>
          <w:szCs w:val="16"/>
        </w:rPr>
        <w:t>Evidence on the Carcinogenicity of Marijuana Smoke</w:t>
      </w:r>
      <w:r w:rsidRPr="008B04E4">
        <w:rPr>
          <w:rFonts w:ascii="Arial" w:hAnsi="Arial" w:cs="Arial"/>
          <w:sz w:val="16"/>
          <w:szCs w:val="16"/>
        </w:rPr>
        <w:t xml:space="preserve">, California Environmental Protection Agency Office of Environmental Health Hazard Assessment Reproductive and Cancer Hazard </w:t>
      </w:r>
      <w:r>
        <w:rPr>
          <w:rFonts w:ascii="Arial" w:hAnsi="Arial" w:cs="Arial"/>
          <w:sz w:val="16"/>
          <w:szCs w:val="16"/>
        </w:rPr>
        <w:t>Assessment Branch, Editor.</w:t>
      </w:r>
    </w:p>
  </w:footnote>
  <w:footnote w:id="8">
    <w:p w14:paraId="2072033D" w14:textId="712D61AA"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w:t>
      </w:r>
      <w:proofErr w:type="spellStart"/>
      <w:r w:rsidRPr="008B04E4">
        <w:rPr>
          <w:rFonts w:ascii="Arial" w:eastAsia="Times New Roman" w:hAnsi="Arial" w:cs="Arial"/>
          <w:bCs/>
          <w:sz w:val="16"/>
          <w:szCs w:val="16"/>
        </w:rPr>
        <w:t>Silins</w:t>
      </w:r>
      <w:proofErr w:type="spellEnd"/>
      <w:r w:rsidRPr="008B04E4">
        <w:rPr>
          <w:rFonts w:ascii="Arial" w:eastAsia="Times New Roman" w:hAnsi="Arial" w:cs="Arial"/>
          <w:sz w:val="16"/>
          <w:szCs w:val="16"/>
        </w:rPr>
        <w:t> E</w:t>
      </w:r>
      <w:r w:rsidRPr="008B04E4">
        <w:rPr>
          <w:rFonts w:ascii="Arial" w:eastAsia="Times New Roman" w:hAnsi="Arial" w:cs="Arial"/>
          <w:color w:val="000000" w:themeColor="text1"/>
          <w:sz w:val="16"/>
          <w:szCs w:val="16"/>
        </w:rPr>
        <w:t>, </w:t>
      </w:r>
      <w:r>
        <w:rPr>
          <w:rFonts w:ascii="Arial" w:hAnsi="Arial" w:cs="Arial"/>
          <w:sz w:val="16"/>
          <w:szCs w:val="16"/>
        </w:rPr>
        <w:t xml:space="preserve">et al. </w:t>
      </w:r>
      <w:r w:rsidRPr="008B04E4">
        <w:rPr>
          <w:rFonts w:ascii="Arial" w:eastAsia="Times New Roman" w:hAnsi="Arial" w:cs="Arial"/>
          <w:bCs/>
          <w:sz w:val="16"/>
          <w:szCs w:val="16"/>
        </w:rPr>
        <w:t>Cannabis</w:t>
      </w:r>
      <w:r w:rsidRPr="008B04E4">
        <w:rPr>
          <w:rFonts w:ascii="Arial" w:eastAsia="Times New Roman" w:hAnsi="Arial" w:cs="Arial"/>
          <w:sz w:val="16"/>
          <w:szCs w:val="16"/>
        </w:rPr>
        <w:t> Cohorts Research Consortium</w:t>
      </w:r>
      <w:r w:rsidRPr="008B04E4">
        <w:rPr>
          <w:rFonts w:ascii="Arial" w:eastAsia="Times New Roman" w:hAnsi="Arial" w:cs="Arial"/>
          <w:color w:val="000000" w:themeColor="text1"/>
          <w:sz w:val="16"/>
          <w:szCs w:val="16"/>
        </w:rPr>
        <w:t xml:space="preserve">. </w:t>
      </w:r>
      <w:r>
        <w:rPr>
          <w:rFonts w:ascii="Arial" w:eastAsia="Times New Roman" w:hAnsi="Arial" w:cs="Arial"/>
          <w:color w:val="000000" w:themeColor="text1"/>
          <w:sz w:val="16"/>
          <w:szCs w:val="16"/>
        </w:rPr>
        <w:t xml:space="preserve">(2014). </w:t>
      </w:r>
      <w:r w:rsidRPr="008B04E4">
        <w:rPr>
          <w:rFonts w:ascii="Arial" w:eastAsia="Times New Roman" w:hAnsi="Arial" w:cs="Arial"/>
          <w:color w:val="000000" w:themeColor="text1"/>
          <w:sz w:val="16"/>
          <w:szCs w:val="16"/>
        </w:rPr>
        <w:t>Young adult sequelae of adolescent cannabis use: an integrative analysis.</w:t>
      </w:r>
      <w:r>
        <w:rPr>
          <w:rFonts w:ascii="Arial" w:eastAsia="Times New Roman" w:hAnsi="Arial" w:cs="Arial"/>
          <w:i/>
          <w:color w:val="000000" w:themeColor="text1"/>
          <w:sz w:val="16"/>
          <w:szCs w:val="16"/>
        </w:rPr>
        <w:t xml:space="preserve"> </w:t>
      </w:r>
      <w:r w:rsidRPr="008B04E4">
        <w:rPr>
          <w:rFonts w:ascii="Arial" w:eastAsia="Times New Roman" w:hAnsi="Arial" w:cs="Arial"/>
          <w:i/>
          <w:sz w:val="16"/>
          <w:szCs w:val="16"/>
        </w:rPr>
        <w:t>Lancet Psychiatry.</w:t>
      </w:r>
      <w:r w:rsidRPr="008B04E4">
        <w:rPr>
          <w:rFonts w:ascii="Arial" w:eastAsia="Times New Roman" w:hAnsi="Arial" w:cs="Arial"/>
          <w:i/>
          <w:color w:val="000000" w:themeColor="text1"/>
          <w:sz w:val="16"/>
          <w:szCs w:val="16"/>
        </w:rPr>
        <w:t xml:space="preserve"> 1</w:t>
      </w:r>
      <w:r w:rsidRPr="008B04E4">
        <w:rPr>
          <w:rFonts w:ascii="Arial" w:eastAsia="Times New Roman" w:hAnsi="Arial" w:cs="Arial"/>
          <w:color w:val="000000" w:themeColor="text1"/>
          <w:sz w:val="16"/>
          <w:szCs w:val="16"/>
        </w:rPr>
        <w:t xml:space="preserve">(4):286-93. </w:t>
      </w:r>
      <w:proofErr w:type="spellStart"/>
      <w:r w:rsidRPr="008B04E4">
        <w:rPr>
          <w:rFonts w:ascii="Arial" w:eastAsia="Times New Roman" w:hAnsi="Arial" w:cs="Arial"/>
          <w:color w:val="000000" w:themeColor="text1"/>
          <w:sz w:val="16"/>
          <w:szCs w:val="16"/>
        </w:rPr>
        <w:t>doi</w:t>
      </w:r>
      <w:proofErr w:type="spellEnd"/>
      <w:r w:rsidRPr="008B04E4">
        <w:rPr>
          <w:rFonts w:ascii="Arial" w:eastAsia="Times New Roman" w:hAnsi="Arial" w:cs="Arial"/>
          <w:color w:val="000000" w:themeColor="text1"/>
          <w:sz w:val="16"/>
          <w:szCs w:val="16"/>
        </w:rPr>
        <w:t>: 10.1016/S2215-0366(14)70307-4</w:t>
      </w:r>
    </w:p>
  </w:footnote>
  <w:footnote w:id="9">
    <w:p w14:paraId="50F2F72D" w14:textId="1602460D"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Lorenzetti V, </w:t>
      </w:r>
      <w:r>
        <w:rPr>
          <w:rFonts w:ascii="Arial" w:hAnsi="Arial" w:cs="Arial"/>
          <w:sz w:val="16"/>
          <w:szCs w:val="16"/>
        </w:rPr>
        <w:t>et al. (2016).</w:t>
      </w:r>
      <w:r w:rsidRPr="008B04E4">
        <w:rPr>
          <w:rFonts w:ascii="Arial" w:hAnsi="Arial" w:cs="Arial"/>
          <w:sz w:val="16"/>
          <w:szCs w:val="16"/>
        </w:rPr>
        <w:t xml:space="preserve"> Cannabis Use: What is the Evidence for Functional Brain Alteration? </w:t>
      </w:r>
      <w:proofErr w:type="spellStart"/>
      <w:r w:rsidRPr="008B04E4">
        <w:rPr>
          <w:rFonts w:ascii="Arial" w:hAnsi="Arial" w:cs="Arial"/>
          <w:i/>
          <w:sz w:val="16"/>
          <w:szCs w:val="16"/>
        </w:rPr>
        <w:t>Curr</w:t>
      </w:r>
      <w:proofErr w:type="spellEnd"/>
      <w:r w:rsidRPr="008B04E4">
        <w:rPr>
          <w:rFonts w:ascii="Arial" w:hAnsi="Arial" w:cs="Arial"/>
          <w:i/>
          <w:sz w:val="16"/>
          <w:szCs w:val="16"/>
        </w:rPr>
        <w:t xml:space="preserve"> Pharm Des. 22</w:t>
      </w:r>
      <w:r>
        <w:rPr>
          <w:rFonts w:ascii="Arial" w:hAnsi="Arial" w:cs="Arial"/>
          <w:sz w:val="16"/>
          <w:szCs w:val="16"/>
        </w:rPr>
        <w:t xml:space="preserve">(42): </w:t>
      </w:r>
      <w:r w:rsidRPr="008B04E4">
        <w:rPr>
          <w:rFonts w:ascii="Arial" w:hAnsi="Arial" w:cs="Arial"/>
          <w:sz w:val="16"/>
          <w:szCs w:val="16"/>
        </w:rPr>
        <w:t>6353-6365.</w:t>
      </w:r>
    </w:p>
  </w:footnote>
  <w:footnote w:id="10">
    <w:p w14:paraId="14016626" w14:textId="218E9620" w:rsidR="00C60810" w:rsidRPr="008B04E4" w:rsidRDefault="00C60810" w:rsidP="00DC2E66">
      <w:pPr>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w:t>
      </w:r>
      <w:proofErr w:type="spellStart"/>
      <w:r w:rsidRPr="008B04E4">
        <w:rPr>
          <w:rFonts w:ascii="Arial" w:hAnsi="Arial" w:cs="Arial"/>
          <w:sz w:val="16"/>
          <w:szCs w:val="16"/>
        </w:rPr>
        <w:t>Blumentrath</w:t>
      </w:r>
      <w:proofErr w:type="spellEnd"/>
      <w:r w:rsidRPr="008B04E4">
        <w:rPr>
          <w:rFonts w:ascii="Arial" w:hAnsi="Arial" w:cs="Arial"/>
          <w:sz w:val="16"/>
          <w:szCs w:val="16"/>
        </w:rPr>
        <w:t xml:space="preserve"> CG, Dohrmann B, Ewald N. (2017). Cannabinoid hyperemesis and the cyclic vomiting syndrome in adults: recognition, diagnosis, acute and long-term treatment. </w:t>
      </w:r>
      <w:proofErr w:type="spellStart"/>
      <w:r w:rsidRPr="008B04E4">
        <w:rPr>
          <w:rFonts w:ascii="Arial" w:hAnsi="Arial" w:cs="Arial"/>
          <w:i/>
          <w:sz w:val="16"/>
          <w:szCs w:val="16"/>
        </w:rPr>
        <w:t>Ger</w:t>
      </w:r>
      <w:proofErr w:type="spellEnd"/>
      <w:r w:rsidRPr="008B04E4">
        <w:rPr>
          <w:rFonts w:ascii="Arial" w:hAnsi="Arial" w:cs="Arial"/>
          <w:i/>
          <w:sz w:val="16"/>
          <w:szCs w:val="16"/>
        </w:rPr>
        <w:t xml:space="preserve"> Med Sci.</w:t>
      </w:r>
      <w:r>
        <w:rPr>
          <w:rFonts w:ascii="Arial" w:hAnsi="Arial" w:cs="Arial"/>
          <w:i/>
          <w:sz w:val="16"/>
          <w:szCs w:val="16"/>
        </w:rPr>
        <w:t>,</w:t>
      </w:r>
      <w:r w:rsidRPr="008B04E4">
        <w:rPr>
          <w:rFonts w:ascii="Arial" w:hAnsi="Arial" w:cs="Arial"/>
          <w:i/>
          <w:sz w:val="16"/>
          <w:szCs w:val="16"/>
        </w:rPr>
        <w:t xml:space="preserve"> </w:t>
      </w:r>
      <w:proofErr w:type="gramStart"/>
      <w:r w:rsidRPr="008B04E4">
        <w:rPr>
          <w:rFonts w:ascii="Arial" w:hAnsi="Arial" w:cs="Arial"/>
          <w:i/>
          <w:sz w:val="16"/>
          <w:szCs w:val="16"/>
        </w:rPr>
        <w:t>15</w:t>
      </w:r>
      <w:r w:rsidRPr="008B04E4">
        <w:rPr>
          <w:rFonts w:ascii="Arial" w:hAnsi="Arial" w:cs="Arial"/>
          <w:sz w:val="16"/>
          <w:szCs w:val="16"/>
        </w:rPr>
        <w:t>:Doc</w:t>
      </w:r>
      <w:proofErr w:type="gramEnd"/>
      <w:r w:rsidRPr="008B04E4">
        <w:rPr>
          <w:rFonts w:ascii="Arial" w:hAnsi="Arial" w:cs="Arial"/>
          <w:sz w:val="16"/>
          <w:szCs w:val="16"/>
        </w:rPr>
        <w:t>06</w:t>
      </w:r>
    </w:p>
  </w:footnote>
  <w:footnote w:id="11">
    <w:p w14:paraId="14B86965" w14:textId="260D4AFB"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w:t>
      </w:r>
      <w:r>
        <w:rPr>
          <w:rFonts w:ascii="Arial" w:hAnsi="Arial" w:cs="Arial"/>
          <w:sz w:val="16"/>
          <w:szCs w:val="16"/>
        </w:rPr>
        <w:t>National Academies. (2017).</w:t>
      </w:r>
      <w:r w:rsidRPr="008B04E4">
        <w:rPr>
          <w:rFonts w:ascii="Arial" w:hAnsi="Arial" w:cs="Arial"/>
          <w:sz w:val="16"/>
          <w:szCs w:val="16"/>
        </w:rPr>
        <w:t xml:space="preserve"> </w:t>
      </w:r>
      <w:r w:rsidRPr="008B04E4">
        <w:rPr>
          <w:rFonts w:ascii="Arial" w:hAnsi="Arial" w:cs="Arial"/>
          <w:i/>
          <w:sz w:val="16"/>
          <w:szCs w:val="16"/>
        </w:rPr>
        <w:t>The Health Effects of Cannabis and Cannabinoids: The Current State of Evidence and Recommendations for Research</w:t>
      </w:r>
      <w:r>
        <w:rPr>
          <w:rFonts w:ascii="Arial" w:hAnsi="Arial" w:cs="Arial"/>
          <w:sz w:val="16"/>
          <w:szCs w:val="16"/>
        </w:rPr>
        <w:t xml:space="preserve">. </w:t>
      </w:r>
      <w:r w:rsidRPr="008B04E4">
        <w:rPr>
          <w:rFonts w:ascii="Arial" w:hAnsi="Arial" w:cs="Arial"/>
          <w:sz w:val="16"/>
          <w:szCs w:val="16"/>
        </w:rPr>
        <w:t>The National Academies Press: Washington, DC.</w:t>
      </w:r>
    </w:p>
  </w:footnote>
  <w:footnote w:id="12">
    <w:p w14:paraId="1E4A499D" w14:textId="5FDC8D8B"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Wang, X., et al. </w:t>
      </w:r>
      <w:r>
        <w:rPr>
          <w:rFonts w:ascii="Arial" w:hAnsi="Arial" w:cs="Arial"/>
          <w:sz w:val="16"/>
          <w:szCs w:val="16"/>
        </w:rPr>
        <w:t xml:space="preserve">(2016). </w:t>
      </w:r>
      <w:r w:rsidRPr="008B04E4">
        <w:rPr>
          <w:rFonts w:ascii="Arial" w:hAnsi="Arial" w:cs="Arial"/>
          <w:sz w:val="16"/>
          <w:szCs w:val="16"/>
        </w:rPr>
        <w:t xml:space="preserve">One Minute of Marijuana Secondhand Smoke Exposure Substantially Impairs Vascular Endothelial Function. </w:t>
      </w:r>
      <w:r w:rsidRPr="008B04E4">
        <w:rPr>
          <w:rFonts w:ascii="Arial" w:hAnsi="Arial" w:cs="Arial"/>
          <w:i/>
          <w:sz w:val="16"/>
          <w:szCs w:val="16"/>
        </w:rPr>
        <w:t>J Am Heart Assoc</w:t>
      </w:r>
      <w:r>
        <w:rPr>
          <w:rFonts w:ascii="Arial" w:hAnsi="Arial" w:cs="Arial"/>
          <w:i/>
          <w:sz w:val="16"/>
          <w:szCs w:val="16"/>
        </w:rPr>
        <w:t>.</w:t>
      </w:r>
      <w:r w:rsidRPr="008B04E4">
        <w:rPr>
          <w:rFonts w:ascii="Arial" w:hAnsi="Arial" w:cs="Arial"/>
          <w:sz w:val="16"/>
          <w:szCs w:val="16"/>
        </w:rPr>
        <w:t xml:space="preserve"> </w:t>
      </w:r>
      <w:r w:rsidRPr="008B04E4">
        <w:rPr>
          <w:rFonts w:ascii="Arial" w:hAnsi="Arial" w:cs="Arial"/>
          <w:i/>
          <w:sz w:val="16"/>
          <w:szCs w:val="16"/>
        </w:rPr>
        <w:t>5</w:t>
      </w:r>
      <w:r w:rsidRPr="008B04E4">
        <w:rPr>
          <w:rFonts w:ascii="Arial" w:hAnsi="Arial" w:cs="Arial"/>
          <w:sz w:val="16"/>
          <w:szCs w:val="16"/>
        </w:rPr>
        <w:t xml:space="preserve">(8). </w:t>
      </w:r>
      <w:proofErr w:type="spellStart"/>
      <w:r w:rsidRPr="008B04E4">
        <w:rPr>
          <w:rFonts w:ascii="Arial" w:hAnsi="Arial" w:cs="Arial"/>
          <w:sz w:val="16"/>
          <w:szCs w:val="16"/>
        </w:rPr>
        <w:t>pii</w:t>
      </w:r>
      <w:proofErr w:type="spellEnd"/>
      <w:r w:rsidRPr="008B04E4">
        <w:rPr>
          <w:rFonts w:ascii="Arial" w:hAnsi="Arial" w:cs="Arial"/>
          <w:sz w:val="16"/>
          <w:szCs w:val="16"/>
        </w:rPr>
        <w:t>: e003858.</w:t>
      </w:r>
    </w:p>
  </w:footnote>
  <w:footnote w:id="13">
    <w:p w14:paraId="22F6D159" w14:textId="47E51C58" w:rsidR="00C60810" w:rsidRPr="008B04E4" w:rsidRDefault="00C60810" w:rsidP="00DC2E66">
      <w:pPr>
        <w:pStyle w:val="FootnoteText"/>
        <w:ind w:right="-720"/>
        <w:rPr>
          <w:rFonts w:ascii="Arial" w:hAnsi="Arial" w:cs="Arial"/>
          <w:sz w:val="16"/>
          <w:szCs w:val="16"/>
        </w:rPr>
      </w:pPr>
      <w:r w:rsidRPr="008B04E4">
        <w:rPr>
          <w:rStyle w:val="FootnoteReference"/>
          <w:rFonts w:ascii="Arial" w:hAnsi="Arial" w:cs="Arial"/>
          <w:sz w:val="16"/>
          <w:szCs w:val="16"/>
        </w:rPr>
        <w:footnoteRef/>
      </w:r>
      <w:r w:rsidRPr="008B04E4">
        <w:rPr>
          <w:rFonts w:ascii="Arial" w:hAnsi="Arial" w:cs="Arial"/>
          <w:sz w:val="16"/>
          <w:szCs w:val="16"/>
        </w:rPr>
        <w:t xml:space="preserve"> </w:t>
      </w:r>
      <w:proofErr w:type="spellStart"/>
      <w:r w:rsidRPr="008B04E4">
        <w:rPr>
          <w:rFonts w:ascii="Arial" w:hAnsi="Arial" w:cs="Arial"/>
          <w:sz w:val="16"/>
          <w:szCs w:val="16"/>
        </w:rPr>
        <w:t>Widlandky</w:t>
      </w:r>
      <w:proofErr w:type="spellEnd"/>
      <w:r w:rsidRPr="008B04E4">
        <w:rPr>
          <w:rFonts w:ascii="Arial" w:hAnsi="Arial" w:cs="Arial"/>
          <w:sz w:val="16"/>
          <w:szCs w:val="16"/>
        </w:rPr>
        <w:t xml:space="preserve"> ME, </w:t>
      </w:r>
      <w:proofErr w:type="spellStart"/>
      <w:r w:rsidRPr="008B04E4">
        <w:rPr>
          <w:rFonts w:ascii="Arial" w:hAnsi="Arial" w:cs="Arial"/>
          <w:sz w:val="16"/>
          <w:szCs w:val="16"/>
        </w:rPr>
        <w:t>Gokce</w:t>
      </w:r>
      <w:proofErr w:type="spellEnd"/>
      <w:r w:rsidRPr="008B04E4">
        <w:rPr>
          <w:rFonts w:ascii="Arial" w:hAnsi="Arial" w:cs="Arial"/>
          <w:sz w:val="16"/>
          <w:szCs w:val="16"/>
        </w:rPr>
        <w:t xml:space="preserve"> N, </w:t>
      </w:r>
      <w:proofErr w:type="spellStart"/>
      <w:r w:rsidRPr="008B04E4">
        <w:rPr>
          <w:rFonts w:ascii="Arial" w:hAnsi="Arial" w:cs="Arial"/>
          <w:sz w:val="16"/>
          <w:szCs w:val="16"/>
        </w:rPr>
        <w:t>Keaney</w:t>
      </w:r>
      <w:proofErr w:type="spellEnd"/>
      <w:r w:rsidRPr="008B04E4">
        <w:rPr>
          <w:rFonts w:ascii="Arial" w:hAnsi="Arial" w:cs="Arial"/>
          <w:sz w:val="16"/>
          <w:szCs w:val="16"/>
        </w:rPr>
        <w:t xml:space="preserve"> JF Jr, Via JA. </w:t>
      </w:r>
      <w:r>
        <w:rPr>
          <w:rFonts w:ascii="Arial" w:hAnsi="Arial" w:cs="Arial"/>
          <w:sz w:val="16"/>
          <w:szCs w:val="16"/>
        </w:rPr>
        <w:t xml:space="preserve">(2003). </w:t>
      </w:r>
      <w:r w:rsidRPr="008B04E4">
        <w:rPr>
          <w:rFonts w:ascii="Arial" w:hAnsi="Arial" w:cs="Arial"/>
          <w:sz w:val="16"/>
          <w:szCs w:val="16"/>
        </w:rPr>
        <w:t xml:space="preserve">The clinical implications of endothelial dysfunction. </w:t>
      </w:r>
      <w:r w:rsidRPr="008B04E4">
        <w:rPr>
          <w:rFonts w:ascii="Arial" w:hAnsi="Arial" w:cs="Arial"/>
          <w:i/>
          <w:sz w:val="16"/>
          <w:szCs w:val="16"/>
        </w:rPr>
        <w:t xml:space="preserve">J Am Coll </w:t>
      </w:r>
      <w:proofErr w:type="spellStart"/>
      <w:r w:rsidRPr="00B540E3">
        <w:rPr>
          <w:rFonts w:ascii="Arial" w:hAnsi="Arial" w:cs="Arial"/>
          <w:i/>
          <w:sz w:val="16"/>
          <w:szCs w:val="16"/>
        </w:rPr>
        <w:t>Cardiol</w:t>
      </w:r>
      <w:proofErr w:type="spellEnd"/>
      <w:r w:rsidRPr="00B540E3">
        <w:rPr>
          <w:rFonts w:ascii="Arial" w:hAnsi="Arial" w:cs="Arial"/>
          <w:i/>
          <w:sz w:val="16"/>
          <w:szCs w:val="16"/>
        </w:rPr>
        <w:t>, 42</w:t>
      </w:r>
      <w:r w:rsidRPr="008B04E4">
        <w:rPr>
          <w:rFonts w:ascii="Arial" w:hAnsi="Arial" w:cs="Arial"/>
          <w:sz w:val="16"/>
          <w:szCs w:val="16"/>
        </w:rPr>
        <w:t xml:space="preserve">(7): 1149-60. </w:t>
      </w:r>
    </w:p>
  </w:footnote>
  <w:footnote w:id="14">
    <w:p w14:paraId="71C9F77B" w14:textId="134B2CDB" w:rsidR="00C60810" w:rsidRPr="00EA5168" w:rsidRDefault="00C60810" w:rsidP="00DC2E66">
      <w:pPr>
        <w:shd w:val="clear" w:color="auto" w:fill="FFFFFF"/>
        <w:ind w:right="-720"/>
        <w:textAlignment w:val="top"/>
        <w:rPr>
          <w:color w:val="000000"/>
          <w:sz w:val="20"/>
          <w:szCs w:val="20"/>
        </w:rPr>
      </w:pPr>
      <w:r w:rsidRPr="008B04E4">
        <w:rPr>
          <w:rStyle w:val="FootnoteReference"/>
          <w:rFonts w:ascii="Arial" w:hAnsi="Arial" w:cs="Arial"/>
          <w:sz w:val="16"/>
          <w:szCs w:val="16"/>
        </w:rPr>
        <w:footnoteRef/>
      </w:r>
      <w:r w:rsidRPr="008B04E4">
        <w:rPr>
          <w:rFonts w:ascii="Arial" w:hAnsi="Arial" w:cs="Arial"/>
          <w:sz w:val="16"/>
          <w:szCs w:val="16"/>
        </w:rPr>
        <w:t xml:space="preserve"> Yeboah J, Folsom AR, Burke GL, et al.</w:t>
      </w:r>
      <w:r>
        <w:rPr>
          <w:rFonts w:ascii="Arial" w:hAnsi="Arial" w:cs="Arial"/>
          <w:sz w:val="16"/>
          <w:szCs w:val="16"/>
        </w:rPr>
        <w:t xml:space="preserve"> (2009).</w:t>
      </w:r>
      <w:r w:rsidRPr="008B04E4">
        <w:rPr>
          <w:rFonts w:ascii="Arial" w:hAnsi="Arial" w:cs="Arial"/>
          <w:sz w:val="16"/>
          <w:szCs w:val="16"/>
        </w:rPr>
        <w:t xml:space="preserve"> Predictive Value of Brachial Flow-Mediated Dilation for Incident Cardiovascular Events in a Population-Based Study: The Multi-Ethnic Study of Atherosclerosis. </w:t>
      </w:r>
      <w:r w:rsidRPr="008B04E4">
        <w:rPr>
          <w:rFonts w:ascii="Arial" w:hAnsi="Arial" w:cs="Arial"/>
          <w:i/>
          <w:sz w:val="16"/>
          <w:szCs w:val="16"/>
        </w:rPr>
        <w:t>Circulation</w:t>
      </w:r>
      <w:r>
        <w:rPr>
          <w:rFonts w:ascii="Arial" w:hAnsi="Arial" w:cs="Arial"/>
          <w:sz w:val="16"/>
          <w:szCs w:val="16"/>
        </w:rPr>
        <w:t xml:space="preserve">, </w:t>
      </w:r>
      <w:r w:rsidRPr="00B540E3">
        <w:rPr>
          <w:rFonts w:ascii="Arial" w:hAnsi="Arial" w:cs="Arial"/>
          <w:i/>
          <w:sz w:val="16"/>
          <w:szCs w:val="16"/>
        </w:rPr>
        <w:t>120</w:t>
      </w:r>
      <w:r w:rsidRPr="008B04E4">
        <w:rPr>
          <w:rFonts w:ascii="Arial" w:hAnsi="Arial" w:cs="Arial"/>
          <w:sz w:val="16"/>
          <w:szCs w:val="16"/>
        </w:rPr>
        <w:t xml:space="preserve">(6): 502-509. </w:t>
      </w:r>
      <w:proofErr w:type="spellStart"/>
      <w:r w:rsidRPr="008B04E4">
        <w:rPr>
          <w:rStyle w:val="doi"/>
          <w:rFonts w:ascii="Arial" w:hAnsi="Arial" w:cs="Arial"/>
          <w:color w:val="000000"/>
          <w:sz w:val="16"/>
          <w:szCs w:val="16"/>
        </w:rPr>
        <w:t>doi</w:t>
      </w:r>
      <w:proofErr w:type="spellEnd"/>
      <w:r w:rsidRPr="008B04E4">
        <w:rPr>
          <w:rStyle w:val="doi"/>
          <w:rFonts w:ascii="Arial" w:hAnsi="Arial" w:cs="Arial"/>
          <w:color w:val="000000"/>
          <w:sz w:val="16"/>
          <w:szCs w:val="16"/>
        </w:rPr>
        <w:t xml:space="preserve">: </w:t>
      </w:r>
      <w:r w:rsidRPr="00B540E3">
        <w:rPr>
          <w:rFonts w:ascii="Arial" w:hAnsi="Arial" w:cs="Arial"/>
          <w:sz w:val="16"/>
          <w:szCs w:val="16"/>
        </w:rPr>
        <w:t>10.1161/CIRCULATIONAHA.109.864801</w:t>
      </w:r>
      <w:r w:rsidRPr="008B04E4">
        <w:rPr>
          <w:rStyle w:val="doi"/>
          <w:rFonts w:ascii="Arial" w:hAnsi="Arial" w:cs="Arial"/>
          <w:color w:val="000000"/>
          <w:sz w:val="16"/>
          <w:szCs w:val="16"/>
        </w:rPr>
        <w:t>.</w:t>
      </w:r>
    </w:p>
  </w:footnote>
  <w:footnote w:id="15">
    <w:p w14:paraId="25E19BDF" w14:textId="0F9D4F56" w:rsidR="00C60810" w:rsidRDefault="00C60810" w:rsidP="00DC2E66">
      <w:pPr>
        <w:pStyle w:val="FootnoteText"/>
        <w:ind w:right="-720"/>
      </w:pPr>
      <w:r>
        <w:rPr>
          <w:rStyle w:val="FootnoteReference"/>
        </w:rPr>
        <w:footnoteRef/>
      </w:r>
      <w:r>
        <w:t xml:space="preserve"> </w:t>
      </w:r>
      <w:r>
        <w:rPr>
          <w:rFonts w:ascii="Arial" w:hAnsi="Arial" w:cs="Arial"/>
          <w:sz w:val="16"/>
          <w:szCs w:val="16"/>
        </w:rPr>
        <w:t>National Academies. (2017).</w:t>
      </w:r>
      <w:r w:rsidRPr="008B04E4">
        <w:rPr>
          <w:rFonts w:ascii="Arial" w:hAnsi="Arial" w:cs="Arial"/>
          <w:sz w:val="16"/>
          <w:szCs w:val="16"/>
        </w:rPr>
        <w:t xml:space="preserve"> </w:t>
      </w:r>
      <w:r w:rsidRPr="008B04E4">
        <w:rPr>
          <w:rFonts w:ascii="Arial" w:hAnsi="Arial" w:cs="Arial"/>
          <w:i/>
          <w:sz w:val="16"/>
          <w:szCs w:val="16"/>
        </w:rPr>
        <w:t>The Health Effects of Cannabis and Cannabinoids: The Current State of Evidence and Recommendations for Research</w:t>
      </w:r>
      <w:r>
        <w:rPr>
          <w:rFonts w:ascii="Arial" w:hAnsi="Arial" w:cs="Arial"/>
          <w:sz w:val="16"/>
          <w:szCs w:val="16"/>
        </w:rPr>
        <w:t xml:space="preserve">. </w:t>
      </w:r>
      <w:r w:rsidRPr="008B04E4">
        <w:rPr>
          <w:rFonts w:ascii="Arial" w:hAnsi="Arial" w:cs="Arial"/>
          <w:sz w:val="16"/>
          <w:szCs w:val="16"/>
        </w:rPr>
        <w:t>The National Academies Press: Washington, DC.</w:t>
      </w:r>
    </w:p>
  </w:footnote>
  <w:footnote w:id="16">
    <w:p w14:paraId="58D874C4" w14:textId="6F5BE8C6" w:rsidR="00C60810" w:rsidRPr="00C630F2" w:rsidRDefault="00C60810" w:rsidP="00DC2E66">
      <w:pPr>
        <w:pStyle w:val="FootnoteText"/>
        <w:ind w:right="-720"/>
        <w:rPr>
          <w:rFonts w:ascii="Arial" w:hAnsi="Arial" w:cs="Arial"/>
          <w:sz w:val="16"/>
          <w:szCs w:val="16"/>
        </w:rPr>
      </w:pPr>
      <w:r w:rsidRPr="00C630F2">
        <w:rPr>
          <w:rStyle w:val="FootnoteReference"/>
          <w:rFonts w:ascii="Arial" w:hAnsi="Arial" w:cs="Arial"/>
          <w:sz w:val="16"/>
          <w:szCs w:val="16"/>
        </w:rPr>
        <w:footnoteRef/>
      </w:r>
      <w:r w:rsidRPr="00C630F2">
        <w:rPr>
          <w:rFonts w:ascii="Arial" w:hAnsi="Arial" w:cs="Arial"/>
          <w:sz w:val="16"/>
          <w:szCs w:val="16"/>
        </w:rPr>
        <w:t xml:space="preserve"> Barry RA, </w:t>
      </w:r>
      <w:proofErr w:type="spellStart"/>
      <w:r w:rsidRPr="00C630F2">
        <w:rPr>
          <w:rFonts w:ascii="Arial" w:hAnsi="Arial" w:cs="Arial"/>
          <w:sz w:val="16"/>
          <w:szCs w:val="16"/>
        </w:rPr>
        <w:t>Glantz</w:t>
      </w:r>
      <w:proofErr w:type="spellEnd"/>
      <w:r w:rsidRPr="00C630F2">
        <w:rPr>
          <w:rFonts w:ascii="Arial" w:hAnsi="Arial" w:cs="Arial"/>
          <w:sz w:val="16"/>
          <w:szCs w:val="16"/>
        </w:rPr>
        <w:t xml:space="preserve"> SA. </w:t>
      </w:r>
      <w:r w:rsidR="00E122C2">
        <w:rPr>
          <w:rFonts w:ascii="Arial" w:hAnsi="Arial" w:cs="Arial"/>
          <w:sz w:val="16"/>
          <w:szCs w:val="16"/>
        </w:rPr>
        <w:t xml:space="preserve">(2016). </w:t>
      </w:r>
      <w:r w:rsidRPr="00C630F2">
        <w:rPr>
          <w:rFonts w:ascii="Arial" w:hAnsi="Arial" w:cs="Arial"/>
          <w:sz w:val="16"/>
          <w:szCs w:val="16"/>
        </w:rPr>
        <w:t xml:space="preserve">A Public Health Framework for legalized Retail marijuana Based on the US Experience: Avoiding a New Tobacco Industry. </w:t>
      </w:r>
      <w:proofErr w:type="spellStart"/>
      <w:r w:rsidRPr="00C630F2">
        <w:rPr>
          <w:rFonts w:ascii="Arial" w:hAnsi="Arial" w:cs="Arial"/>
          <w:i/>
          <w:sz w:val="16"/>
          <w:szCs w:val="16"/>
        </w:rPr>
        <w:t>PLoS</w:t>
      </w:r>
      <w:proofErr w:type="spellEnd"/>
      <w:r w:rsidRPr="00C630F2">
        <w:rPr>
          <w:rFonts w:ascii="Arial" w:hAnsi="Arial" w:cs="Arial"/>
          <w:i/>
          <w:sz w:val="16"/>
          <w:szCs w:val="16"/>
        </w:rPr>
        <w:t xml:space="preserve"> Med</w:t>
      </w:r>
      <w:r w:rsidR="008C0384">
        <w:rPr>
          <w:rFonts w:ascii="Arial" w:hAnsi="Arial" w:cs="Arial"/>
          <w:sz w:val="16"/>
          <w:szCs w:val="16"/>
        </w:rPr>
        <w:t>.</w:t>
      </w:r>
      <w:r w:rsidR="00E122C2">
        <w:rPr>
          <w:rFonts w:ascii="Arial" w:hAnsi="Arial" w:cs="Arial"/>
          <w:sz w:val="16"/>
          <w:szCs w:val="16"/>
        </w:rPr>
        <w:t xml:space="preserve"> </w:t>
      </w:r>
      <w:r w:rsidRPr="00E122C2">
        <w:rPr>
          <w:rFonts w:ascii="Arial" w:hAnsi="Arial" w:cs="Arial"/>
          <w:i/>
          <w:sz w:val="16"/>
          <w:szCs w:val="16"/>
        </w:rPr>
        <w:t>13</w:t>
      </w:r>
      <w:r w:rsidRPr="00C630F2">
        <w:rPr>
          <w:rFonts w:ascii="Arial" w:hAnsi="Arial" w:cs="Arial"/>
          <w:sz w:val="16"/>
          <w:szCs w:val="16"/>
        </w:rPr>
        <w:t xml:space="preserve">(9): </w:t>
      </w:r>
      <w:r w:rsidRPr="00DC2E66">
        <w:rPr>
          <w:rFonts w:ascii="Arial" w:hAnsi="Arial" w:cs="Arial"/>
          <w:sz w:val="16"/>
          <w:szCs w:val="16"/>
        </w:rPr>
        <w:t>e1002131.</w:t>
      </w:r>
      <w:r w:rsidRPr="00DC2E66">
        <w:rPr>
          <w:rFonts w:ascii="Arial" w:hAnsi="Arial" w:cs="Arial"/>
          <w:sz w:val="16"/>
          <w:szCs w:val="16"/>
          <w:shd w:val="clear" w:color="auto" w:fill="FFFFFF"/>
        </w:rPr>
        <w:t xml:space="preserve"> </w:t>
      </w:r>
      <w:proofErr w:type="spellStart"/>
      <w:r w:rsidRPr="00DC2E66">
        <w:rPr>
          <w:rFonts w:ascii="Arial" w:hAnsi="Arial" w:cs="Arial"/>
          <w:sz w:val="16"/>
          <w:szCs w:val="16"/>
          <w:shd w:val="clear" w:color="auto" w:fill="FFFFFF"/>
        </w:rPr>
        <w:t>doi</w:t>
      </w:r>
      <w:proofErr w:type="spellEnd"/>
      <w:r w:rsidRPr="00DC2E66">
        <w:rPr>
          <w:rFonts w:ascii="Arial" w:hAnsi="Arial" w:cs="Arial"/>
          <w:sz w:val="16"/>
          <w:szCs w:val="16"/>
          <w:shd w:val="clear" w:color="auto" w:fill="FFFFFF"/>
        </w:rPr>
        <w:t xml:space="preserve">: </w:t>
      </w:r>
      <w:r w:rsidRPr="00DC2E66">
        <w:rPr>
          <w:rStyle w:val="Hyperlink"/>
          <w:rFonts w:ascii="Arial" w:hAnsi="Arial" w:cs="Arial"/>
          <w:color w:val="auto"/>
          <w:sz w:val="16"/>
          <w:szCs w:val="16"/>
          <w:u w:val="none"/>
          <w:shd w:val="clear" w:color="auto" w:fill="FFFFFF"/>
        </w:rPr>
        <w:t>10.1371/journal.pmed.1002131</w:t>
      </w:r>
    </w:p>
  </w:footnote>
  <w:footnote w:id="17">
    <w:p w14:paraId="530A51A7" w14:textId="01AB4864" w:rsidR="00C60810" w:rsidRPr="009F7CE3" w:rsidRDefault="00C60810" w:rsidP="00DC2E66">
      <w:pPr>
        <w:pStyle w:val="FootnoteText"/>
        <w:ind w:right="-720"/>
        <w:rPr>
          <w:rFonts w:ascii="Arial" w:hAnsi="Arial" w:cs="Arial"/>
          <w:sz w:val="16"/>
          <w:szCs w:val="16"/>
        </w:rPr>
      </w:pPr>
      <w:r w:rsidRPr="009F7CE3">
        <w:rPr>
          <w:rStyle w:val="FootnoteReference"/>
          <w:rFonts w:ascii="Arial" w:hAnsi="Arial" w:cs="Arial"/>
          <w:sz w:val="16"/>
          <w:szCs w:val="16"/>
        </w:rPr>
        <w:footnoteRef/>
      </w:r>
      <w:r w:rsidRPr="009F7CE3">
        <w:rPr>
          <w:rFonts w:ascii="Arial" w:hAnsi="Arial" w:cs="Arial"/>
          <w:sz w:val="16"/>
          <w:szCs w:val="16"/>
        </w:rPr>
        <w:t xml:space="preserve"> </w:t>
      </w:r>
      <w:proofErr w:type="spellStart"/>
      <w:r>
        <w:rPr>
          <w:rFonts w:ascii="Arial" w:hAnsi="Arial" w:cs="Arial"/>
          <w:sz w:val="16"/>
          <w:szCs w:val="16"/>
        </w:rPr>
        <w:t>Padon</w:t>
      </w:r>
      <w:proofErr w:type="spellEnd"/>
      <w:r>
        <w:rPr>
          <w:rFonts w:ascii="Arial" w:hAnsi="Arial" w:cs="Arial"/>
          <w:sz w:val="16"/>
          <w:szCs w:val="16"/>
        </w:rPr>
        <w:t xml:space="preserve">, </w:t>
      </w:r>
      <w:r w:rsidRPr="009F7CE3">
        <w:rPr>
          <w:rFonts w:ascii="Arial" w:hAnsi="Arial" w:cs="Arial"/>
          <w:sz w:val="16"/>
          <w:szCs w:val="16"/>
        </w:rPr>
        <w:t>A</w:t>
      </w:r>
      <w:r>
        <w:rPr>
          <w:rFonts w:ascii="Arial" w:hAnsi="Arial" w:cs="Arial"/>
          <w:sz w:val="16"/>
          <w:szCs w:val="16"/>
        </w:rPr>
        <w:t>.</w:t>
      </w:r>
      <w:r w:rsidRPr="009F7CE3">
        <w:rPr>
          <w:rFonts w:ascii="Arial" w:hAnsi="Arial" w:cs="Arial"/>
          <w:sz w:val="16"/>
          <w:szCs w:val="16"/>
        </w:rPr>
        <w:t xml:space="preserve">, </w:t>
      </w:r>
      <w:proofErr w:type="spellStart"/>
      <w:r w:rsidRPr="009F7CE3">
        <w:rPr>
          <w:rFonts w:ascii="Arial" w:hAnsi="Arial" w:cs="Arial"/>
          <w:sz w:val="16"/>
          <w:szCs w:val="16"/>
        </w:rPr>
        <w:t>Rimal</w:t>
      </w:r>
      <w:proofErr w:type="spellEnd"/>
      <w:r>
        <w:rPr>
          <w:rFonts w:ascii="Arial" w:hAnsi="Arial" w:cs="Arial"/>
          <w:sz w:val="16"/>
          <w:szCs w:val="16"/>
        </w:rPr>
        <w:t>, R.</w:t>
      </w:r>
      <w:r w:rsidRPr="009F7CE3">
        <w:rPr>
          <w:rFonts w:ascii="Arial" w:hAnsi="Arial" w:cs="Arial"/>
          <w:sz w:val="16"/>
          <w:szCs w:val="16"/>
        </w:rPr>
        <w:t>, DeJong</w:t>
      </w:r>
      <w:r>
        <w:rPr>
          <w:rFonts w:ascii="Arial" w:hAnsi="Arial" w:cs="Arial"/>
          <w:sz w:val="16"/>
          <w:szCs w:val="16"/>
        </w:rPr>
        <w:t>,</w:t>
      </w:r>
      <w:r w:rsidRPr="009F7CE3">
        <w:rPr>
          <w:rFonts w:ascii="Arial" w:hAnsi="Arial" w:cs="Arial"/>
          <w:sz w:val="16"/>
          <w:szCs w:val="16"/>
        </w:rPr>
        <w:t xml:space="preserve"> W</w:t>
      </w:r>
      <w:r>
        <w:rPr>
          <w:rFonts w:ascii="Arial" w:hAnsi="Arial" w:cs="Arial"/>
          <w:sz w:val="16"/>
          <w:szCs w:val="16"/>
        </w:rPr>
        <w:t>.</w:t>
      </w:r>
      <w:r w:rsidRPr="009F7CE3">
        <w:rPr>
          <w:rFonts w:ascii="Arial" w:hAnsi="Arial" w:cs="Arial"/>
          <w:sz w:val="16"/>
          <w:szCs w:val="16"/>
        </w:rPr>
        <w:t>, Siegel</w:t>
      </w:r>
      <w:r>
        <w:rPr>
          <w:rFonts w:ascii="Arial" w:hAnsi="Arial" w:cs="Arial"/>
          <w:sz w:val="16"/>
          <w:szCs w:val="16"/>
        </w:rPr>
        <w:t>,</w:t>
      </w:r>
      <w:r w:rsidRPr="009F7CE3">
        <w:rPr>
          <w:rFonts w:ascii="Arial" w:hAnsi="Arial" w:cs="Arial"/>
          <w:sz w:val="16"/>
          <w:szCs w:val="16"/>
        </w:rPr>
        <w:t xml:space="preserve"> M</w:t>
      </w:r>
      <w:r>
        <w:rPr>
          <w:rFonts w:ascii="Arial" w:hAnsi="Arial" w:cs="Arial"/>
          <w:sz w:val="16"/>
          <w:szCs w:val="16"/>
        </w:rPr>
        <w:t>.</w:t>
      </w:r>
      <w:r w:rsidRPr="009F7CE3">
        <w:rPr>
          <w:rFonts w:ascii="Arial" w:hAnsi="Arial" w:cs="Arial"/>
          <w:sz w:val="16"/>
          <w:szCs w:val="16"/>
        </w:rPr>
        <w:t>, Jernigan</w:t>
      </w:r>
      <w:r>
        <w:rPr>
          <w:rFonts w:ascii="Arial" w:hAnsi="Arial" w:cs="Arial"/>
          <w:sz w:val="16"/>
          <w:szCs w:val="16"/>
        </w:rPr>
        <w:t>,</w:t>
      </w:r>
      <w:r w:rsidRPr="009F7CE3">
        <w:rPr>
          <w:rFonts w:ascii="Arial" w:hAnsi="Arial" w:cs="Arial"/>
          <w:sz w:val="16"/>
          <w:szCs w:val="16"/>
        </w:rPr>
        <w:t xml:space="preserve"> D. </w:t>
      </w:r>
      <w:r>
        <w:rPr>
          <w:rFonts w:ascii="Arial" w:hAnsi="Arial" w:cs="Arial"/>
          <w:sz w:val="16"/>
          <w:szCs w:val="16"/>
        </w:rPr>
        <w:t xml:space="preserve">(2018). </w:t>
      </w:r>
      <w:r w:rsidRPr="009F7CE3">
        <w:rPr>
          <w:rFonts w:ascii="Arial" w:hAnsi="Arial" w:cs="Arial"/>
          <w:sz w:val="16"/>
          <w:szCs w:val="16"/>
        </w:rPr>
        <w:t xml:space="preserve">Assessing Youth-Appealing Content in Alcohol Advertisements: Application of a Content Appealing to Youth (CAY) Index. </w:t>
      </w:r>
      <w:r w:rsidRPr="009F7CE3">
        <w:rPr>
          <w:rFonts w:ascii="Arial" w:hAnsi="Arial" w:cs="Arial"/>
          <w:i/>
          <w:iCs/>
          <w:sz w:val="16"/>
          <w:szCs w:val="16"/>
        </w:rPr>
        <w:t xml:space="preserve">Health </w:t>
      </w:r>
      <w:proofErr w:type="spellStart"/>
      <w:r w:rsidRPr="009F7CE3">
        <w:rPr>
          <w:rFonts w:ascii="Arial" w:hAnsi="Arial" w:cs="Arial"/>
          <w:i/>
          <w:iCs/>
          <w:sz w:val="16"/>
          <w:szCs w:val="16"/>
        </w:rPr>
        <w:t>Commun</w:t>
      </w:r>
      <w:proofErr w:type="spellEnd"/>
      <w:r>
        <w:rPr>
          <w:rFonts w:ascii="Arial" w:hAnsi="Arial" w:cs="Arial"/>
          <w:sz w:val="16"/>
          <w:szCs w:val="16"/>
        </w:rPr>
        <w:t>.</w:t>
      </w:r>
      <w:r w:rsidRPr="00F12A5E">
        <w:rPr>
          <w:rFonts w:ascii="Arial" w:hAnsi="Arial" w:cs="Arial"/>
          <w:i/>
          <w:sz w:val="16"/>
          <w:szCs w:val="16"/>
        </w:rPr>
        <w:t xml:space="preserve"> 33</w:t>
      </w:r>
      <w:r>
        <w:rPr>
          <w:rFonts w:ascii="Arial" w:hAnsi="Arial" w:cs="Arial"/>
          <w:sz w:val="16"/>
          <w:szCs w:val="16"/>
        </w:rPr>
        <w:t>(2</w:t>
      </w:r>
      <w:r w:rsidRPr="009F7CE3">
        <w:rPr>
          <w:rFonts w:ascii="Arial" w:hAnsi="Arial" w:cs="Arial"/>
          <w:sz w:val="16"/>
          <w:szCs w:val="16"/>
        </w:rPr>
        <w:t>):1</w:t>
      </w:r>
      <w:r>
        <w:rPr>
          <w:rFonts w:ascii="Arial" w:hAnsi="Arial" w:cs="Arial"/>
          <w:sz w:val="16"/>
          <w:szCs w:val="16"/>
        </w:rPr>
        <w:t>64-173</w:t>
      </w:r>
      <w:r w:rsidRPr="009F7CE3">
        <w:rPr>
          <w:rFonts w:ascii="Arial" w:hAnsi="Arial" w:cs="Arial"/>
          <w:sz w:val="16"/>
          <w:szCs w:val="16"/>
        </w:rPr>
        <w:t>. doi:10.1080/10410236.2016.1250331</w:t>
      </w:r>
    </w:p>
  </w:footnote>
  <w:footnote w:id="18">
    <w:p w14:paraId="4F74A6EB" w14:textId="5115322B" w:rsidR="00C60810" w:rsidRPr="00F12A5E" w:rsidRDefault="00C60810" w:rsidP="00DC2E66">
      <w:pPr>
        <w:pStyle w:val="FootnoteText"/>
        <w:ind w:right="-720"/>
      </w:pPr>
      <w:r w:rsidRPr="009F7CE3">
        <w:rPr>
          <w:rStyle w:val="FootnoteReference"/>
          <w:rFonts w:ascii="Arial" w:hAnsi="Arial" w:cs="Arial"/>
          <w:sz w:val="16"/>
          <w:szCs w:val="16"/>
        </w:rPr>
        <w:footnoteRef/>
      </w:r>
      <w:r w:rsidRPr="009F7CE3">
        <w:rPr>
          <w:rFonts w:ascii="Arial" w:hAnsi="Arial" w:cs="Arial"/>
          <w:sz w:val="16"/>
          <w:szCs w:val="16"/>
        </w:rPr>
        <w:t xml:space="preserve"> </w:t>
      </w:r>
      <w:proofErr w:type="spellStart"/>
      <w:r>
        <w:rPr>
          <w:rFonts w:ascii="Arial" w:hAnsi="Arial" w:cs="Arial"/>
          <w:sz w:val="16"/>
          <w:szCs w:val="16"/>
        </w:rPr>
        <w:t>Padon</w:t>
      </w:r>
      <w:proofErr w:type="spellEnd"/>
      <w:r>
        <w:rPr>
          <w:rFonts w:ascii="Arial" w:hAnsi="Arial" w:cs="Arial"/>
          <w:sz w:val="16"/>
          <w:szCs w:val="16"/>
        </w:rPr>
        <w:t xml:space="preserve">, A., </w:t>
      </w:r>
      <w:proofErr w:type="spellStart"/>
      <w:r>
        <w:rPr>
          <w:rFonts w:ascii="Arial" w:hAnsi="Arial" w:cs="Arial"/>
          <w:sz w:val="16"/>
          <w:szCs w:val="16"/>
        </w:rPr>
        <w:t>Rimal</w:t>
      </w:r>
      <w:proofErr w:type="spellEnd"/>
      <w:r>
        <w:rPr>
          <w:rFonts w:ascii="Arial" w:hAnsi="Arial" w:cs="Arial"/>
          <w:sz w:val="16"/>
          <w:szCs w:val="16"/>
        </w:rPr>
        <w:t xml:space="preserve">, R., Siegel, M. DeJong, W., </w:t>
      </w:r>
      <w:proofErr w:type="spellStart"/>
      <w:r>
        <w:rPr>
          <w:rFonts w:ascii="Arial" w:hAnsi="Arial" w:cs="Arial"/>
          <w:sz w:val="16"/>
          <w:szCs w:val="16"/>
        </w:rPr>
        <w:t>Naimi</w:t>
      </w:r>
      <w:proofErr w:type="spellEnd"/>
      <w:r>
        <w:rPr>
          <w:rFonts w:ascii="Arial" w:hAnsi="Arial" w:cs="Arial"/>
          <w:sz w:val="16"/>
          <w:szCs w:val="16"/>
        </w:rPr>
        <w:t xml:space="preserve">, T. &amp; Jernigan, D. (2018). Alcohol brand use of youth-appealing advertising and consumption by youth and adults. </w:t>
      </w:r>
      <w:r>
        <w:rPr>
          <w:rFonts w:ascii="Arial" w:hAnsi="Arial" w:cs="Arial"/>
          <w:i/>
          <w:sz w:val="16"/>
          <w:szCs w:val="16"/>
        </w:rPr>
        <w:t>Journal of Public Health Research</w:t>
      </w:r>
      <w:r w:rsidR="008C0384">
        <w:rPr>
          <w:rFonts w:ascii="Arial" w:hAnsi="Arial" w:cs="Arial"/>
          <w:i/>
          <w:sz w:val="16"/>
          <w:szCs w:val="16"/>
        </w:rPr>
        <w:t>.</w:t>
      </w:r>
      <w:r>
        <w:rPr>
          <w:rFonts w:ascii="Arial" w:hAnsi="Arial" w:cs="Arial"/>
          <w:i/>
          <w:sz w:val="16"/>
          <w:szCs w:val="16"/>
        </w:rPr>
        <w:t xml:space="preserve"> 7</w:t>
      </w:r>
      <w:r>
        <w:rPr>
          <w:rFonts w:ascii="Arial" w:hAnsi="Arial" w:cs="Arial"/>
          <w:sz w:val="16"/>
          <w:szCs w:val="16"/>
        </w:rPr>
        <w:t xml:space="preserve">(1): 1269. </w:t>
      </w:r>
      <w:proofErr w:type="spellStart"/>
      <w:r>
        <w:rPr>
          <w:rFonts w:ascii="Arial" w:hAnsi="Arial" w:cs="Arial"/>
          <w:sz w:val="16"/>
          <w:szCs w:val="16"/>
        </w:rPr>
        <w:t>Doi</w:t>
      </w:r>
      <w:proofErr w:type="spellEnd"/>
      <w:r>
        <w:rPr>
          <w:rFonts w:ascii="Arial" w:hAnsi="Arial" w:cs="Arial"/>
          <w:sz w:val="16"/>
          <w:szCs w:val="16"/>
        </w:rPr>
        <w:t xml:space="preserve">: </w:t>
      </w:r>
      <w:r w:rsidRPr="00F12A5E">
        <w:rPr>
          <w:rFonts w:ascii="Arial" w:hAnsi="Arial" w:cs="Arial"/>
          <w:sz w:val="16"/>
          <w:szCs w:val="16"/>
        </w:rPr>
        <w:t>10.4081/jphr.2018.1269</w:t>
      </w:r>
    </w:p>
  </w:footnote>
  <w:footnote w:id="19">
    <w:p w14:paraId="6FE13923" w14:textId="05BD1186" w:rsidR="00C60810" w:rsidRPr="003B38DF" w:rsidRDefault="00C60810" w:rsidP="00DC2E66">
      <w:pPr>
        <w:pStyle w:val="FootnoteText"/>
        <w:ind w:right="-720"/>
        <w:rPr>
          <w:rFonts w:ascii="Arial" w:hAnsi="Arial" w:cs="Arial"/>
          <w:sz w:val="16"/>
          <w:szCs w:val="16"/>
        </w:rPr>
      </w:pPr>
      <w:r w:rsidRPr="003B38DF">
        <w:rPr>
          <w:rStyle w:val="FootnoteReference"/>
          <w:rFonts w:ascii="Arial" w:hAnsi="Arial" w:cs="Arial"/>
          <w:sz w:val="16"/>
          <w:szCs w:val="16"/>
        </w:rPr>
        <w:footnoteRef/>
      </w:r>
      <w:r w:rsidRPr="003B38DF">
        <w:rPr>
          <w:rFonts w:ascii="Arial" w:hAnsi="Arial" w:cs="Arial"/>
          <w:sz w:val="16"/>
          <w:szCs w:val="16"/>
        </w:rPr>
        <w:t xml:space="preserve"> </w:t>
      </w:r>
      <w:proofErr w:type="spellStart"/>
      <w:r w:rsidRPr="003B38DF">
        <w:rPr>
          <w:rFonts w:ascii="Arial" w:hAnsi="Arial" w:cs="Arial"/>
          <w:sz w:val="16"/>
          <w:szCs w:val="16"/>
        </w:rPr>
        <w:t>Borodovsky</w:t>
      </w:r>
      <w:proofErr w:type="spellEnd"/>
      <w:r w:rsidRPr="003B38DF">
        <w:rPr>
          <w:rFonts w:ascii="Arial" w:hAnsi="Arial" w:cs="Arial"/>
          <w:sz w:val="16"/>
          <w:szCs w:val="16"/>
        </w:rPr>
        <w:t xml:space="preserve"> JT, Lee DC, Crosier BS, </w:t>
      </w:r>
      <w:proofErr w:type="spellStart"/>
      <w:r w:rsidRPr="003B38DF">
        <w:rPr>
          <w:rFonts w:ascii="Arial" w:hAnsi="Arial" w:cs="Arial"/>
          <w:sz w:val="16"/>
          <w:szCs w:val="16"/>
        </w:rPr>
        <w:t>Gabrielli</w:t>
      </w:r>
      <w:proofErr w:type="spellEnd"/>
      <w:r w:rsidRPr="003B38DF">
        <w:rPr>
          <w:rFonts w:ascii="Arial" w:hAnsi="Arial" w:cs="Arial"/>
          <w:sz w:val="16"/>
          <w:szCs w:val="16"/>
        </w:rPr>
        <w:t xml:space="preserve"> JL, Sargent JD, </w:t>
      </w:r>
      <w:proofErr w:type="spellStart"/>
      <w:r w:rsidRPr="003B38DF">
        <w:rPr>
          <w:rFonts w:ascii="Arial" w:hAnsi="Arial" w:cs="Arial"/>
          <w:sz w:val="16"/>
          <w:szCs w:val="16"/>
        </w:rPr>
        <w:t>Budney</w:t>
      </w:r>
      <w:proofErr w:type="spellEnd"/>
      <w:r w:rsidRPr="003B38DF">
        <w:rPr>
          <w:rFonts w:ascii="Arial" w:hAnsi="Arial" w:cs="Arial"/>
          <w:sz w:val="16"/>
          <w:szCs w:val="16"/>
        </w:rPr>
        <w:t xml:space="preserve"> AJ. </w:t>
      </w:r>
      <w:r>
        <w:rPr>
          <w:rFonts w:ascii="Arial" w:hAnsi="Arial" w:cs="Arial"/>
          <w:sz w:val="16"/>
          <w:szCs w:val="16"/>
        </w:rPr>
        <w:t xml:space="preserve">(2017). </w:t>
      </w:r>
      <w:r w:rsidRPr="003B38DF">
        <w:rPr>
          <w:rFonts w:ascii="Arial" w:hAnsi="Arial" w:cs="Arial"/>
          <w:sz w:val="16"/>
          <w:szCs w:val="16"/>
        </w:rPr>
        <w:t xml:space="preserve">U.S. cannabis legalization and use of vaping and edible products among youth. </w:t>
      </w:r>
      <w:r w:rsidRPr="003B38DF">
        <w:rPr>
          <w:rFonts w:ascii="Arial" w:hAnsi="Arial" w:cs="Arial"/>
          <w:i/>
          <w:iCs/>
          <w:sz w:val="16"/>
          <w:szCs w:val="16"/>
        </w:rPr>
        <w:t>Drug Alcohol Depend</w:t>
      </w:r>
      <w:r>
        <w:rPr>
          <w:rFonts w:ascii="Arial" w:hAnsi="Arial" w:cs="Arial"/>
          <w:sz w:val="16"/>
          <w:szCs w:val="16"/>
        </w:rPr>
        <w:t xml:space="preserve">. </w:t>
      </w:r>
      <w:r w:rsidRPr="00F12A5E">
        <w:rPr>
          <w:rFonts w:ascii="Arial" w:hAnsi="Arial" w:cs="Arial"/>
          <w:i/>
          <w:sz w:val="16"/>
          <w:szCs w:val="16"/>
        </w:rPr>
        <w:t>0</w:t>
      </w:r>
      <w:r w:rsidRPr="003B38DF">
        <w:rPr>
          <w:rFonts w:ascii="Arial" w:hAnsi="Arial" w:cs="Arial"/>
          <w:sz w:val="16"/>
          <w:szCs w:val="16"/>
        </w:rPr>
        <w:t xml:space="preserve">(0). </w:t>
      </w:r>
      <w:proofErr w:type="gramStart"/>
      <w:r w:rsidRPr="003B38DF">
        <w:rPr>
          <w:rFonts w:ascii="Arial" w:hAnsi="Arial" w:cs="Arial"/>
          <w:sz w:val="16"/>
          <w:szCs w:val="16"/>
        </w:rPr>
        <w:t>doi:10.1016/j.drugalcdep</w:t>
      </w:r>
      <w:proofErr w:type="gramEnd"/>
      <w:r w:rsidRPr="003B38DF">
        <w:rPr>
          <w:rFonts w:ascii="Arial" w:hAnsi="Arial" w:cs="Arial"/>
          <w:sz w:val="16"/>
          <w:szCs w:val="16"/>
        </w:rPr>
        <w:t>.2017.02.017.</w:t>
      </w:r>
    </w:p>
  </w:footnote>
  <w:footnote w:id="20">
    <w:p w14:paraId="6C265C90" w14:textId="2CDA9D0A" w:rsidR="00C60810" w:rsidRPr="003B38DF" w:rsidRDefault="00C60810" w:rsidP="00DC2E66">
      <w:pPr>
        <w:pStyle w:val="FootnoteText"/>
        <w:ind w:right="-720"/>
        <w:rPr>
          <w:rFonts w:ascii="Arial" w:hAnsi="Arial" w:cs="Arial"/>
          <w:sz w:val="16"/>
          <w:szCs w:val="16"/>
        </w:rPr>
      </w:pPr>
      <w:r w:rsidRPr="003B38DF">
        <w:rPr>
          <w:rStyle w:val="FootnoteReference"/>
          <w:rFonts w:ascii="Arial" w:hAnsi="Arial" w:cs="Arial"/>
          <w:sz w:val="16"/>
          <w:szCs w:val="16"/>
        </w:rPr>
        <w:footnoteRef/>
      </w:r>
      <w:r w:rsidRPr="003B38DF">
        <w:rPr>
          <w:rFonts w:ascii="Arial" w:hAnsi="Arial" w:cs="Arial"/>
          <w:sz w:val="16"/>
          <w:szCs w:val="16"/>
        </w:rPr>
        <w:t xml:space="preserve"> </w:t>
      </w:r>
      <w:proofErr w:type="spellStart"/>
      <w:r w:rsidRPr="00F12A5E">
        <w:rPr>
          <w:rStyle w:val="Hyperlink"/>
          <w:rFonts w:ascii="Arial" w:eastAsia="Times New Roman" w:hAnsi="Arial" w:cs="Arial"/>
          <w:color w:val="000000" w:themeColor="text1"/>
          <w:sz w:val="16"/>
          <w:szCs w:val="16"/>
          <w:u w:val="none"/>
        </w:rPr>
        <w:t>Gwon</w:t>
      </w:r>
      <w:proofErr w:type="spellEnd"/>
      <w:r w:rsidRPr="00F12A5E">
        <w:rPr>
          <w:rStyle w:val="Hyperlink"/>
          <w:rFonts w:ascii="Arial" w:eastAsia="Times New Roman" w:hAnsi="Arial" w:cs="Arial"/>
          <w:color w:val="000000" w:themeColor="text1"/>
          <w:sz w:val="16"/>
          <w:szCs w:val="16"/>
          <w:u w:val="none"/>
        </w:rPr>
        <w:t xml:space="preserve"> SH</w:t>
      </w:r>
      <w:r w:rsidRPr="00F12A5E">
        <w:rPr>
          <w:rFonts w:ascii="Arial" w:eastAsia="Times New Roman" w:hAnsi="Arial" w:cs="Arial"/>
          <w:color w:val="000000" w:themeColor="text1"/>
          <w:sz w:val="16"/>
          <w:szCs w:val="16"/>
        </w:rPr>
        <w:t>, </w:t>
      </w:r>
      <w:proofErr w:type="spellStart"/>
      <w:r w:rsidRPr="00F12A5E">
        <w:rPr>
          <w:rStyle w:val="Hyperlink"/>
          <w:rFonts w:ascii="Arial" w:eastAsia="Times New Roman" w:hAnsi="Arial" w:cs="Arial"/>
          <w:color w:val="000000" w:themeColor="text1"/>
          <w:sz w:val="16"/>
          <w:szCs w:val="16"/>
          <w:u w:val="none"/>
        </w:rPr>
        <w:t>DeGuzman</w:t>
      </w:r>
      <w:proofErr w:type="spellEnd"/>
      <w:r w:rsidRPr="00F12A5E">
        <w:rPr>
          <w:rStyle w:val="Hyperlink"/>
          <w:rFonts w:ascii="Arial" w:eastAsia="Times New Roman" w:hAnsi="Arial" w:cs="Arial"/>
          <w:color w:val="000000" w:themeColor="text1"/>
          <w:sz w:val="16"/>
          <w:szCs w:val="16"/>
          <w:u w:val="none"/>
        </w:rPr>
        <w:t xml:space="preserve"> PB</w:t>
      </w:r>
      <w:r w:rsidRPr="00F12A5E">
        <w:rPr>
          <w:rFonts w:ascii="Arial" w:eastAsia="Times New Roman" w:hAnsi="Arial" w:cs="Arial"/>
          <w:color w:val="000000" w:themeColor="text1"/>
          <w:sz w:val="16"/>
          <w:szCs w:val="16"/>
        </w:rPr>
        <w:t>, </w:t>
      </w:r>
      <w:proofErr w:type="spellStart"/>
      <w:r w:rsidRPr="00F12A5E">
        <w:rPr>
          <w:rStyle w:val="Hyperlink"/>
          <w:rFonts w:ascii="Arial" w:eastAsia="Times New Roman" w:hAnsi="Arial" w:cs="Arial"/>
          <w:color w:val="000000" w:themeColor="text1"/>
          <w:sz w:val="16"/>
          <w:szCs w:val="16"/>
          <w:u w:val="none"/>
        </w:rPr>
        <w:t>Kulbok</w:t>
      </w:r>
      <w:proofErr w:type="spellEnd"/>
      <w:r w:rsidRPr="00F12A5E">
        <w:rPr>
          <w:rStyle w:val="Hyperlink"/>
          <w:rFonts w:ascii="Arial" w:eastAsia="Times New Roman" w:hAnsi="Arial" w:cs="Arial"/>
          <w:color w:val="000000" w:themeColor="text1"/>
          <w:sz w:val="16"/>
          <w:szCs w:val="16"/>
          <w:u w:val="none"/>
        </w:rPr>
        <w:t xml:space="preserve"> PA</w:t>
      </w:r>
      <w:r w:rsidRPr="00F12A5E">
        <w:rPr>
          <w:rFonts w:ascii="Arial" w:eastAsia="Times New Roman" w:hAnsi="Arial" w:cs="Arial"/>
          <w:color w:val="000000" w:themeColor="text1"/>
          <w:sz w:val="16"/>
          <w:szCs w:val="16"/>
        </w:rPr>
        <w:t>, </w:t>
      </w:r>
      <w:proofErr w:type="spellStart"/>
      <w:r w:rsidRPr="00F12A5E">
        <w:rPr>
          <w:rStyle w:val="Hyperlink"/>
          <w:rFonts w:ascii="Arial" w:eastAsia="Times New Roman" w:hAnsi="Arial" w:cs="Arial"/>
          <w:color w:val="000000" w:themeColor="text1"/>
          <w:sz w:val="16"/>
          <w:szCs w:val="16"/>
          <w:u w:val="none"/>
        </w:rPr>
        <w:t>Jeong</w:t>
      </w:r>
      <w:proofErr w:type="spellEnd"/>
      <w:r w:rsidRPr="00F12A5E">
        <w:rPr>
          <w:rStyle w:val="Hyperlink"/>
          <w:rFonts w:ascii="Arial" w:eastAsia="Times New Roman" w:hAnsi="Arial" w:cs="Arial"/>
          <w:color w:val="000000" w:themeColor="text1"/>
          <w:sz w:val="16"/>
          <w:szCs w:val="16"/>
          <w:u w:val="none"/>
        </w:rPr>
        <w:t xml:space="preserve"> S</w:t>
      </w:r>
      <w:r>
        <w:rPr>
          <w:rFonts w:ascii="Arial" w:eastAsia="Times New Roman" w:hAnsi="Arial" w:cs="Arial"/>
          <w:color w:val="000000" w:themeColor="text1"/>
          <w:sz w:val="16"/>
          <w:szCs w:val="16"/>
        </w:rPr>
        <w:t xml:space="preserve"> (2017</w:t>
      </w:r>
      <w:r w:rsidRPr="00F12A5E">
        <w:rPr>
          <w:rFonts w:ascii="Arial" w:eastAsia="Times New Roman" w:hAnsi="Arial" w:cs="Arial"/>
          <w:color w:val="000000" w:themeColor="text1"/>
          <w:sz w:val="16"/>
          <w:szCs w:val="16"/>
        </w:rPr>
        <w:t xml:space="preserve">). </w:t>
      </w:r>
      <w:r w:rsidRPr="003B38DF">
        <w:rPr>
          <w:rFonts w:ascii="Arial" w:eastAsia="Times New Roman" w:hAnsi="Arial" w:cs="Arial"/>
          <w:color w:val="000000" w:themeColor="text1"/>
          <w:sz w:val="16"/>
          <w:szCs w:val="16"/>
        </w:rPr>
        <w:t xml:space="preserve">Density and Proximity of Licensed Tobacco Retailers and Adolescent Smoking. </w:t>
      </w:r>
      <w:r w:rsidRPr="00F12A5E">
        <w:rPr>
          <w:rStyle w:val="Hyperlink"/>
          <w:rFonts w:ascii="Arial" w:eastAsia="Times New Roman" w:hAnsi="Arial" w:cs="Arial"/>
          <w:i/>
          <w:color w:val="000000" w:themeColor="text1"/>
          <w:sz w:val="16"/>
          <w:szCs w:val="16"/>
          <w:u w:val="none"/>
        </w:rPr>
        <w:t xml:space="preserve">J </w:t>
      </w:r>
      <w:proofErr w:type="spellStart"/>
      <w:r w:rsidRPr="00F12A5E">
        <w:rPr>
          <w:rStyle w:val="Hyperlink"/>
          <w:rFonts w:ascii="Arial" w:eastAsia="Times New Roman" w:hAnsi="Arial" w:cs="Arial"/>
          <w:i/>
          <w:color w:val="000000" w:themeColor="text1"/>
          <w:sz w:val="16"/>
          <w:szCs w:val="16"/>
          <w:u w:val="none"/>
        </w:rPr>
        <w:t>Sch</w:t>
      </w:r>
      <w:proofErr w:type="spellEnd"/>
      <w:r w:rsidRPr="00F12A5E">
        <w:rPr>
          <w:rStyle w:val="Hyperlink"/>
          <w:rFonts w:ascii="Arial" w:eastAsia="Times New Roman" w:hAnsi="Arial" w:cs="Arial"/>
          <w:i/>
          <w:color w:val="000000" w:themeColor="text1"/>
          <w:sz w:val="16"/>
          <w:szCs w:val="16"/>
          <w:u w:val="none"/>
        </w:rPr>
        <w:t xml:space="preserve"> </w:t>
      </w:r>
      <w:proofErr w:type="spellStart"/>
      <w:r w:rsidRPr="00F12A5E">
        <w:rPr>
          <w:rStyle w:val="Hyperlink"/>
          <w:rFonts w:ascii="Arial" w:eastAsia="Times New Roman" w:hAnsi="Arial" w:cs="Arial"/>
          <w:i/>
          <w:color w:val="000000" w:themeColor="text1"/>
          <w:sz w:val="16"/>
          <w:szCs w:val="16"/>
          <w:u w:val="none"/>
        </w:rPr>
        <w:t>Nurs</w:t>
      </w:r>
      <w:proofErr w:type="spellEnd"/>
      <w:r w:rsidRPr="00F12A5E">
        <w:rPr>
          <w:rStyle w:val="Hyperlink"/>
          <w:rFonts w:ascii="Arial" w:eastAsia="Times New Roman" w:hAnsi="Arial" w:cs="Arial"/>
          <w:i/>
          <w:color w:val="000000" w:themeColor="text1"/>
          <w:sz w:val="16"/>
          <w:szCs w:val="16"/>
          <w:u w:val="none"/>
        </w:rPr>
        <w:t>.</w:t>
      </w:r>
      <w:r>
        <w:rPr>
          <w:rFonts w:ascii="Arial" w:eastAsia="Times New Roman" w:hAnsi="Arial" w:cs="Arial"/>
          <w:color w:val="000000" w:themeColor="text1"/>
          <w:sz w:val="16"/>
          <w:szCs w:val="16"/>
        </w:rPr>
        <w:t> </w:t>
      </w:r>
      <w:r w:rsidRPr="00F12A5E">
        <w:rPr>
          <w:rFonts w:ascii="Arial" w:eastAsia="Times New Roman" w:hAnsi="Arial" w:cs="Arial"/>
          <w:i/>
          <w:color w:val="000000" w:themeColor="text1"/>
          <w:sz w:val="16"/>
          <w:szCs w:val="16"/>
        </w:rPr>
        <w:t>33</w:t>
      </w:r>
      <w:r w:rsidRPr="003B38DF">
        <w:rPr>
          <w:rFonts w:ascii="Arial" w:eastAsia="Times New Roman" w:hAnsi="Arial" w:cs="Arial"/>
          <w:color w:val="000000" w:themeColor="text1"/>
          <w:sz w:val="16"/>
          <w:szCs w:val="16"/>
        </w:rPr>
        <w:t xml:space="preserve">(1):18-29. </w:t>
      </w:r>
      <w:proofErr w:type="spellStart"/>
      <w:r w:rsidRPr="003B38DF">
        <w:rPr>
          <w:rFonts w:ascii="Arial" w:eastAsia="Times New Roman" w:hAnsi="Arial" w:cs="Arial"/>
          <w:color w:val="000000" w:themeColor="text1"/>
          <w:sz w:val="16"/>
          <w:szCs w:val="16"/>
        </w:rPr>
        <w:t>doi</w:t>
      </w:r>
      <w:proofErr w:type="spellEnd"/>
      <w:r w:rsidRPr="003B38DF">
        <w:rPr>
          <w:rFonts w:ascii="Arial" w:eastAsia="Times New Roman" w:hAnsi="Arial" w:cs="Arial"/>
          <w:color w:val="000000" w:themeColor="text1"/>
          <w:sz w:val="16"/>
          <w:szCs w:val="16"/>
        </w:rPr>
        <w:t>: 10.1177/1059840516679710.</w:t>
      </w:r>
    </w:p>
  </w:footnote>
  <w:footnote w:id="21">
    <w:p w14:paraId="3724AB17" w14:textId="6FDDB768" w:rsidR="00C60810" w:rsidRPr="00DC2E66" w:rsidRDefault="00C60810" w:rsidP="00DC2E66">
      <w:pPr>
        <w:shd w:val="clear" w:color="auto" w:fill="FFFFFF"/>
        <w:ind w:right="-720"/>
        <w:contextualSpacing/>
        <w:rPr>
          <w:rFonts w:ascii="Arial" w:hAnsi="Arial" w:cs="Arial"/>
          <w:color w:val="000000" w:themeColor="text1"/>
          <w:sz w:val="16"/>
          <w:szCs w:val="16"/>
        </w:rPr>
      </w:pPr>
      <w:r w:rsidRPr="003B38DF">
        <w:rPr>
          <w:rStyle w:val="FootnoteReference"/>
          <w:rFonts w:ascii="Arial" w:hAnsi="Arial" w:cs="Arial"/>
          <w:color w:val="000000" w:themeColor="text1"/>
          <w:sz w:val="16"/>
          <w:szCs w:val="16"/>
        </w:rPr>
        <w:footnoteRef/>
      </w:r>
      <w:r w:rsidRPr="003B38DF">
        <w:rPr>
          <w:rFonts w:ascii="Arial" w:hAnsi="Arial" w:cs="Arial"/>
          <w:color w:val="000000" w:themeColor="text1"/>
          <w:sz w:val="16"/>
          <w:szCs w:val="16"/>
        </w:rPr>
        <w:t xml:space="preserve"> </w:t>
      </w:r>
      <w:proofErr w:type="spellStart"/>
      <w:r w:rsidRPr="00F12A5E">
        <w:rPr>
          <w:rStyle w:val="Hyperlink"/>
          <w:rFonts w:ascii="Arial" w:hAnsi="Arial" w:cs="Arial"/>
          <w:color w:val="000000" w:themeColor="text1"/>
          <w:sz w:val="16"/>
          <w:szCs w:val="16"/>
          <w:u w:val="none"/>
        </w:rPr>
        <w:t>Grubesic</w:t>
      </w:r>
      <w:proofErr w:type="spellEnd"/>
      <w:r w:rsidRPr="00F12A5E">
        <w:rPr>
          <w:rStyle w:val="Hyperlink"/>
          <w:rFonts w:ascii="Arial" w:hAnsi="Arial" w:cs="Arial"/>
          <w:color w:val="000000" w:themeColor="text1"/>
          <w:sz w:val="16"/>
          <w:szCs w:val="16"/>
          <w:u w:val="none"/>
        </w:rPr>
        <w:t xml:space="preserve"> TH</w:t>
      </w:r>
      <w:r w:rsidRPr="00F12A5E">
        <w:rPr>
          <w:rFonts w:ascii="Arial" w:hAnsi="Arial" w:cs="Arial"/>
          <w:color w:val="000000" w:themeColor="text1"/>
          <w:sz w:val="16"/>
          <w:szCs w:val="16"/>
          <w:vertAlign w:val="superscript"/>
        </w:rPr>
        <w:t>1</w:t>
      </w:r>
      <w:r w:rsidRPr="00F12A5E">
        <w:rPr>
          <w:rFonts w:ascii="Arial" w:hAnsi="Arial" w:cs="Arial"/>
          <w:color w:val="000000" w:themeColor="text1"/>
          <w:sz w:val="16"/>
          <w:szCs w:val="16"/>
        </w:rPr>
        <w:t>, </w:t>
      </w:r>
      <w:proofErr w:type="spellStart"/>
      <w:r w:rsidRPr="00F12A5E">
        <w:rPr>
          <w:rStyle w:val="Hyperlink"/>
          <w:rFonts w:ascii="Arial" w:hAnsi="Arial" w:cs="Arial"/>
          <w:color w:val="000000" w:themeColor="text1"/>
          <w:sz w:val="16"/>
          <w:szCs w:val="16"/>
          <w:u w:val="none"/>
        </w:rPr>
        <w:t>Pridemore</w:t>
      </w:r>
      <w:proofErr w:type="spellEnd"/>
      <w:r w:rsidRPr="00F12A5E">
        <w:rPr>
          <w:rStyle w:val="Hyperlink"/>
          <w:rFonts w:ascii="Arial" w:hAnsi="Arial" w:cs="Arial"/>
          <w:color w:val="000000" w:themeColor="text1"/>
          <w:sz w:val="16"/>
          <w:szCs w:val="16"/>
          <w:u w:val="none"/>
        </w:rPr>
        <w:t xml:space="preserve"> WA</w:t>
      </w:r>
      <w:r w:rsidRPr="00F12A5E">
        <w:rPr>
          <w:rFonts w:ascii="Arial" w:hAnsi="Arial" w:cs="Arial"/>
          <w:color w:val="000000" w:themeColor="text1"/>
          <w:sz w:val="16"/>
          <w:szCs w:val="16"/>
        </w:rPr>
        <w:t>, </w:t>
      </w:r>
      <w:r w:rsidRPr="00F12A5E">
        <w:rPr>
          <w:rStyle w:val="Hyperlink"/>
          <w:rFonts w:ascii="Arial" w:hAnsi="Arial" w:cs="Arial"/>
          <w:color w:val="000000" w:themeColor="text1"/>
          <w:sz w:val="16"/>
          <w:szCs w:val="16"/>
          <w:u w:val="none"/>
        </w:rPr>
        <w:t>Williams DA</w:t>
      </w:r>
      <w:r w:rsidRPr="00F12A5E">
        <w:rPr>
          <w:rFonts w:ascii="Arial" w:hAnsi="Arial" w:cs="Arial"/>
          <w:color w:val="000000" w:themeColor="text1"/>
          <w:sz w:val="16"/>
          <w:szCs w:val="16"/>
        </w:rPr>
        <w:t>, </w:t>
      </w:r>
      <w:r w:rsidRPr="00F12A5E">
        <w:rPr>
          <w:rStyle w:val="Hyperlink"/>
          <w:rFonts w:ascii="Arial" w:hAnsi="Arial" w:cs="Arial"/>
          <w:color w:val="000000" w:themeColor="text1"/>
          <w:sz w:val="16"/>
          <w:szCs w:val="16"/>
          <w:u w:val="none"/>
        </w:rPr>
        <w:t>Philip-Tabb L</w:t>
      </w:r>
      <w:r w:rsidRPr="00F12A5E">
        <w:rPr>
          <w:rFonts w:ascii="Arial" w:hAnsi="Arial" w:cs="Arial"/>
          <w:color w:val="000000" w:themeColor="text1"/>
          <w:sz w:val="16"/>
          <w:szCs w:val="16"/>
        </w:rPr>
        <w:t>.</w:t>
      </w:r>
      <w:r>
        <w:rPr>
          <w:rFonts w:ascii="Arial" w:hAnsi="Arial" w:cs="Arial"/>
          <w:color w:val="000000" w:themeColor="text1"/>
          <w:sz w:val="16"/>
          <w:szCs w:val="16"/>
        </w:rPr>
        <w:t xml:space="preserve"> (2013). </w:t>
      </w:r>
      <w:r w:rsidRPr="003B38DF">
        <w:rPr>
          <w:rFonts w:ascii="Arial" w:hAnsi="Arial" w:cs="Arial"/>
          <w:color w:val="000000" w:themeColor="text1"/>
          <w:sz w:val="16"/>
          <w:szCs w:val="16"/>
        </w:rPr>
        <w:t xml:space="preserve">Alcohol outlet density and violence: the role of risky retailers and alcohol-related expenditures. </w:t>
      </w:r>
      <w:r>
        <w:rPr>
          <w:rFonts w:ascii="Arial" w:hAnsi="Arial" w:cs="Arial"/>
          <w:i/>
          <w:color w:val="000000" w:themeColor="text1"/>
          <w:sz w:val="16"/>
          <w:szCs w:val="16"/>
        </w:rPr>
        <w:t>Alcohol &amp; Alcoholism,</w:t>
      </w:r>
      <w:r>
        <w:rPr>
          <w:rFonts w:ascii="Arial" w:hAnsi="Arial" w:cs="Arial"/>
          <w:color w:val="000000" w:themeColor="text1"/>
          <w:sz w:val="16"/>
          <w:szCs w:val="16"/>
        </w:rPr>
        <w:t xml:space="preserve"> </w:t>
      </w:r>
      <w:r w:rsidRPr="00F12A5E">
        <w:rPr>
          <w:rFonts w:ascii="Arial" w:hAnsi="Arial" w:cs="Arial"/>
          <w:i/>
          <w:color w:val="000000" w:themeColor="text1"/>
          <w:sz w:val="16"/>
          <w:szCs w:val="16"/>
        </w:rPr>
        <w:t>48</w:t>
      </w:r>
      <w:r w:rsidRPr="003B38DF">
        <w:rPr>
          <w:rFonts w:ascii="Arial" w:hAnsi="Arial" w:cs="Arial"/>
          <w:color w:val="000000" w:themeColor="text1"/>
          <w:sz w:val="16"/>
          <w:szCs w:val="16"/>
        </w:rPr>
        <w:t xml:space="preserve">(5):613-9. </w:t>
      </w:r>
      <w:proofErr w:type="spellStart"/>
      <w:r w:rsidRPr="003B38DF">
        <w:rPr>
          <w:rFonts w:ascii="Arial" w:hAnsi="Arial" w:cs="Arial"/>
          <w:color w:val="000000" w:themeColor="text1"/>
          <w:sz w:val="16"/>
          <w:szCs w:val="16"/>
        </w:rPr>
        <w:t>doi</w:t>
      </w:r>
      <w:proofErr w:type="spellEnd"/>
      <w:r w:rsidRPr="003B38DF">
        <w:rPr>
          <w:rFonts w:ascii="Arial" w:hAnsi="Arial" w:cs="Arial"/>
          <w:color w:val="000000" w:themeColor="text1"/>
          <w:sz w:val="16"/>
          <w:szCs w:val="16"/>
        </w:rPr>
        <w:t>: 10.1093/</w:t>
      </w:r>
      <w:proofErr w:type="spellStart"/>
      <w:r w:rsidRPr="003B38DF">
        <w:rPr>
          <w:rFonts w:ascii="Arial" w:hAnsi="Arial" w:cs="Arial"/>
          <w:color w:val="000000" w:themeColor="text1"/>
          <w:sz w:val="16"/>
          <w:szCs w:val="16"/>
        </w:rPr>
        <w:t>alcalc</w:t>
      </w:r>
      <w:proofErr w:type="spellEnd"/>
      <w:r w:rsidRPr="003B38DF">
        <w:rPr>
          <w:rFonts w:ascii="Arial" w:hAnsi="Arial" w:cs="Arial"/>
          <w:color w:val="000000" w:themeColor="text1"/>
          <w:sz w:val="16"/>
          <w:szCs w:val="16"/>
        </w:rPr>
        <w:t xml:space="preserve">/agt055. </w:t>
      </w:r>
      <w:proofErr w:type="spellStart"/>
      <w:r w:rsidRPr="003B38DF">
        <w:rPr>
          <w:rFonts w:ascii="Arial" w:hAnsi="Arial" w:cs="Arial"/>
          <w:color w:val="000000" w:themeColor="text1"/>
          <w:sz w:val="16"/>
          <w:szCs w:val="16"/>
        </w:rPr>
        <w:t>Epub</w:t>
      </w:r>
      <w:proofErr w:type="spellEnd"/>
      <w:r w:rsidRPr="003B38DF">
        <w:rPr>
          <w:rFonts w:ascii="Arial" w:hAnsi="Arial" w:cs="Arial"/>
          <w:color w:val="000000" w:themeColor="text1"/>
          <w:sz w:val="16"/>
          <w:szCs w:val="16"/>
        </w:rPr>
        <w:t xml:space="preserve"> 2013 Jun 23.</w:t>
      </w:r>
    </w:p>
  </w:footnote>
  <w:footnote w:id="22">
    <w:p w14:paraId="0874A8DE" w14:textId="70692AA0" w:rsidR="00C60810" w:rsidRPr="00847481" w:rsidRDefault="00C60810" w:rsidP="00DC2E66">
      <w:pPr>
        <w:pStyle w:val="Bibliography"/>
        <w:spacing w:after="0" w:line="240" w:lineRule="auto"/>
        <w:ind w:right="-720"/>
        <w:contextualSpacing/>
        <w:rPr>
          <w:rFonts w:ascii="Arial" w:hAnsi="Arial" w:cs="Arial"/>
          <w:sz w:val="16"/>
          <w:szCs w:val="16"/>
        </w:rPr>
      </w:pPr>
      <w:r w:rsidRPr="00CA70D8">
        <w:rPr>
          <w:rStyle w:val="FootnoteReference"/>
          <w:rFonts w:ascii="Arial" w:hAnsi="Arial" w:cs="Arial"/>
          <w:sz w:val="16"/>
          <w:szCs w:val="16"/>
        </w:rPr>
        <w:footnoteRef/>
      </w:r>
      <w:r w:rsidRPr="00CA70D8">
        <w:rPr>
          <w:rFonts w:ascii="Arial" w:hAnsi="Arial" w:cs="Arial"/>
          <w:sz w:val="16"/>
          <w:szCs w:val="16"/>
        </w:rPr>
        <w:t xml:space="preserve"> </w:t>
      </w:r>
      <w:r w:rsidRPr="00847481">
        <w:rPr>
          <w:rFonts w:ascii="Arial" w:hAnsi="Arial" w:cs="Arial"/>
          <w:sz w:val="16"/>
          <w:szCs w:val="16"/>
        </w:rPr>
        <w:t xml:space="preserve">Johnston LD, O’Malley PM, </w:t>
      </w:r>
      <w:proofErr w:type="spellStart"/>
      <w:r w:rsidRPr="00847481">
        <w:rPr>
          <w:rFonts w:ascii="Arial" w:hAnsi="Arial" w:cs="Arial"/>
          <w:sz w:val="16"/>
          <w:szCs w:val="16"/>
        </w:rPr>
        <w:t>Miech</w:t>
      </w:r>
      <w:proofErr w:type="spellEnd"/>
      <w:r w:rsidRPr="00847481">
        <w:rPr>
          <w:rFonts w:ascii="Arial" w:hAnsi="Arial" w:cs="Arial"/>
          <w:sz w:val="16"/>
          <w:szCs w:val="16"/>
        </w:rPr>
        <w:t xml:space="preserve"> RA, Bachman JG, Schulenberg JE. </w:t>
      </w:r>
      <w:r w:rsidR="008C0384">
        <w:rPr>
          <w:rFonts w:ascii="Arial" w:hAnsi="Arial" w:cs="Arial"/>
          <w:sz w:val="16"/>
          <w:szCs w:val="16"/>
        </w:rPr>
        <w:t xml:space="preserve">(2017). </w:t>
      </w:r>
      <w:r w:rsidRPr="00847481">
        <w:rPr>
          <w:rFonts w:ascii="Arial" w:hAnsi="Arial" w:cs="Arial"/>
          <w:i/>
          <w:iCs/>
          <w:sz w:val="16"/>
          <w:szCs w:val="16"/>
        </w:rPr>
        <w:t>Monitoring the Future National Survey Results on Drug Use, 1975-2016: Overview, Key Findings on Adolescent Drug Use</w:t>
      </w:r>
      <w:r w:rsidRPr="00847481">
        <w:rPr>
          <w:rFonts w:ascii="Arial" w:hAnsi="Arial" w:cs="Arial"/>
          <w:sz w:val="16"/>
          <w:szCs w:val="16"/>
        </w:rPr>
        <w:t xml:space="preserve">. Ann Arbor: Institute for Social Research, </w:t>
      </w:r>
      <w:r w:rsidR="008C0384">
        <w:rPr>
          <w:rFonts w:ascii="Arial" w:hAnsi="Arial" w:cs="Arial"/>
          <w:sz w:val="16"/>
          <w:szCs w:val="16"/>
        </w:rPr>
        <w:t>The University of Michigan</w:t>
      </w:r>
      <w:r w:rsidRPr="00847481">
        <w:rPr>
          <w:rFonts w:ascii="Arial" w:hAnsi="Arial" w:cs="Arial"/>
          <w:sz w:val="16"/>
          <w:szCs w:val="16"/>
        </w:rPr>
        <w:t>.</w:t>
      </w:r>
    </w:p>
  </w:footnote>
  <w:footnote w:id="23">
    <w:p w14:paraId="4D72E571" w14:textId="701B942E" w:rsidR="00C60810" w:rsidRPr="008C0384" w:rsidRDefault="00C60810" w:rsidP="00DC2E66">
      <w:pPr>
        <w:pStyle w:val="desc"/>
        <w:shd w:val="clear" w:color="auto" w:fill="FFFFFF"/>
        <w:spacing w:before="0" w:beforeAutospacing="0" w:after="0" w:afterAutospacing="0"/>
        <w:ind w:right="-720"/>
        <w:contextualSpacing/>
        <w:rPr>
          <w:rFonts w:ascii="Arial" w:hAnsi="Arial" w:cs="Arial"/>
          <w:color w:val="000000"/>
          <w:sz w:val="16"/>
          <w:szCs w:val="16"/>
        </w:rPr>
      </w:pPr>
      <w:r w:rsidRPr="00847481">
        <w:rPr>
          <w:rStyle w:val="FootnoteReference"/>
          <w:rFonts w:ascii="Arial" w:hAnsi="Arial" w:cs="Arial"/>
          <w:sz w:val="16"/>
          <w:szCs w:val="16"/>
        </w:rPr>
        <w:footnoteRef/>
      </w:r>
      <w:r w:rsidRPr="00847481">
        <w:rPr>
          <w:rFonts w:ascii="Arial" w:hAnsi="Arial" w:cs="Arial"/>
          <w:sz w:val="16"/>
          <w:szCs w:val="16"/>
        </w:rPr>
        <w:t xml:space="preserve"> </w:t>
      </w:r>
      <w:r w:rsidRPr="00847481">
        <w:rPr>
          <w:rFonts w:ascii="Arial" w:hAnsi="Arial" w:cs="Arial"/>
          <w:color w:val="000000" w:themeColor="text1"/>
          <w:sz w:val="16"/>
          <w:szCs w:val="16"/>
        </w:rPr>
        <w:t xml:space="preserve">Brown QL, </w:t>
      </w:r>
      <w:proofErr w:type="spellStart"/>
      <w:r w:rsidRPr="00847481">
        <w:rPr>
          <w:rFonts w:ascii="Arial" w:hAnsi="Arial" w:cs="Arial"/>
          <w:color w:val="000000" w:themeColor="text1"/>
          <w:sz w:val="16"/>
          <w:szCs w:val="16"/>
        </w:rPr>
        <w:t>Sarvet</w:t>
      </w:r>
      <w:proofErr w:type="spellEnd"/>
      <w:r w:rsidRPr="00847481">
        <w:rPr>
          <w:rFonts w:ascii="Arial" w:hAnsi="Arial" w:cs="Arial"/>
          <w:color w:val="000000" w:themeColor="text1"/>
          <w:sz w:val="16"/>
          <w:szCs w:val="16"/>
        </w:rPr>
        <w:t xml:space="preserve"> AL, </w:t>
      </w:r>
      <w:proofErr w:type="spellStart"/>
      <w:r w:rsidRPr="00847481">
        <w:rPr>
          <w:rFonts w:ascii="Arial" w:hAnsi="Arial" w:cs="Arial"/>
          <w:color w:val="000000" w:themeColor="text1"/>
          <w:sz w:val="16"/>
          <w:szCs w:val="16"/>
        </w:rPr>
        <w:t>Shmulewitz</w:t>
      </w:r>
      <w:proofErr w:type="spellEnd"/>
      <w:r w:rsidRPr="00847481">
        <w:rPr>
          <w:rFonts w:ascii="Arial" w:hAnsi="Arial" w:cs="Arial"/>
          <w:color w:val="000000" w:themeColor="text1"/>
          <w:sz w:val="16"/>
          <w:szCs w:val="16"/>
        </w:rPr>
        <w:t xml:space="preserve"> D, Martins SS, Wall MM, </w:t>
      </w:r>
      <w:proofErr w:type="spellStart"/>
      <w:r w:rsidRPr="00847481">
        <w:rPr>
          <w:rFonts w:ascii="Arial" w:hAnsi="Arial" w:cs="Arial"/>
          <w:color w:val="000000" w:themeColor="text1"/>
          <w:sz w:val="16"/>
          <w:szCs w:val="16"/>
        </w:rPr>
        <w:t>Hasin</w:t>
      </w:r>
      <w:proofErr w:type="spellEnd"/>
      <w:r w:rsidRPr="00847481">
        <w:rPr>
          <w:rFonts w:ascii="Arial" w:hAnsi="Arial" w:cs="Arial"/>
          <w:color w:val="000000" w:themeColor="text1"/>
          <w:sz w:val="16"/>
          <w:szCs w:val="16"/>
        </w:rPr>
        <w:t xml:space="preserve"> DS. </w:t>
      </w:r>
      <w:r>
        <w:rPr>
          <w:rFonts w:ascii="Arial" w:hAnsi="Arial" w:cs="Arial"/>
          <w:color w:val="000000" w:themeColor="text1"/>
          <w:sz w:val="16"/>
          <w:szCs w:val="16"/>
        </w:rPr>
        <w:t xml:space="preserve">(2017). </w:t>
      </w:r>
      <w:r w:rsidRPr="00AD7828">
        <w:rPr>
          <w:rStyle w:val="Hyperlink"/>
          <w:rFonts w:ascii="Arial" w:hAnsi="Arial" w:cs="Arial"/>
          <w:color w:val="000000" w:themeColor="text1"/>
          <w:sz w:val="16"/>
          <w:szCs w:val="16"/>
          <w:u w:val="none"/>
        </w:rPr>
        <w:t xml:space="preserve">Trends </w:t>
      </w:r>
      <w:r w:rsidRPr="008C0384">
        <w:rPr>
          <w:rStyle w:val="Hyperlink"/>
          <w:rFonts w:ascii="Arial" w:hAnsi="Arial" w:cs="Arial"/>
          <w:color w:val="000000" w:themeColor="text1"/>
          <w:sz w:val="16"/>
          <w:szCs w:val="16"/>
          <w:u w:val="none"/>
        </w:rPr>
        <w:t>in </w:t>
      </w:r>
      <w:r w:rsidRPr="008C0384">
        <w:rPr>
          <w:rStyle w:val="Hyperlink"/>
          <w:rFonts w:ascii="Arial" w:hAnsi="Arial" w:cs="Arial"/>
          <w:bCs/>
          <w:color w:val="000000" w:themeColor="text1"/>
          <w:sz w:val="16"/>
          <w:szCs w:val="16"/>
          <w:u w:val="none"/>
        </w:rPr>
        <w:t>Marijuana Use</w:t>
      </w:r>
      <w:r w:rsidRPr="008C0384">
        <w:rPr>
          <w:rStyle w:val="Hyperlink"/>
          <w:rFonts w:ascii="Arial" w:hAnsi="Arial" w:cs="Arial"/>
          <w:color w:val="000000" w:themeColor="text1"/>
          <w:sz w:val="16"/>
          <w:szCs w:val="16"/>
          <w:u w:val="none"/>
        </w:rPr>
        <w:t> Among Pregnant and Nonpregnant Reproductive-Aged Women, 2002-2014.</w:t>
      </w:r>
      <w:r w:rsidRPr="008C0384">
        <w:rPr>
          <w:rFonts w:ascii="Arial" w:hAnsi="Arial" w:cs="Arial"/>
          <w:color w:val="000000" w:themeColor="text1"/>
          <w:sz w:val="16"/>
          <w:szCs w:val="16"/>
        </w:rPr>
        <w:t xml:space="preserve"> </w:t>
      </w:r>
      <w:r w:rsidRPr="008C0384">
        <w:rPr>
          <w:rStyle w:val="jrnl"/>
          <w:rFonts w:ascii="Arial" w:hAnsi="Arial" w:cs="Arial"/>
          <w:bCs/>
          <w:i/>
          <w:color w:val="000000" w:themeColor="text1"/>
          <w:sz w:val="16"/>
          <w:szCs w:val="16"/>
        </w:rPr>
        <w:t>JAMA</w:t>
      </w:r>
      <w:r w:rsidRPr="008C0384">
        <w:rPr>
          <w:rFonts w:ascii="Arial" w:hAnsi="Arial" w:cs="Arial"/>
          <w:i/>
          <w:color w:val="000000" w:themeColor="text1"/>
          <w:sz w:val="16"/>
          <w:szCs w:val="16"/>
        </w:rPr>
        <w:t>. 317</w:t>
      </w:r>
      <w:r w:rsidRPr="008C0384">
        <w:rPr>
          <w:rFonts w:ascii="Arial" w:hAnsi="Arial" w:cs="Arial"/>
          <w:color w:val="000000" w:themeColor="text1"/>
          <w:sz w:val="16"/>
          <w:szCs w:val="16"/>
        </w:rPr>
        <w:t xml:space="preserve">(2):207-209. </w:t>
      </w:r>
      <w:proofErr w:type="spellStart"/>
      <w:r w:rsidRPr="008C0384">
        <w:rPr>
          <w:rFonts w:ascii="Arial" w:hAnsi="Arial" w:cs="Arial"/>
          <w:color w:val="000000" w:themeColor="text1"/>
          <w:sz w:val="16"/>
          <w:szCs w:val="16"/>
        </w:rPr>
        <w:t>doi</w:t>
      </w:r>
      <w:proofErr w:type="spellEnd"/>
      <w:r w:rsidRPr="008C0384">
        <w:rPr>
          <w:rFonts w:ascii="Arial" w:hAnsi="Arial" w:cs="Arial"/>
          <w:color w:val="000000" w:themeColor="text1"/>
          <w:sz w:val="16"/>
          <w:szCs w:val="16"/>
        </w:rPr>
        <w:t>: 10.1001/</w:t>
      </w:r>
      <w:r w:rsidRPr="008C0384">
        <w:rPr>
          <w:rFonts w:ascii="Arial" w:hAnsi="Arial" w:cs="Arial"/>
          <w:bCs/>
          <w:color w:val="000000" w:themeColor="text1"/>
          <w:sz w:val="16"/>
          <w:szCs w:val="16"/>
        </w:rPr>
        <w:t>jama</w:t>
      </w:r>
      <w:r w:rsidRPr="008C0384">
        <w:rPr>
          <w:rFonts w:ascii="Arial" w:hAnsi="Arial" w:cs="Arial"/>
          <w:color w:val="000000" w:themeColor="text1"/>
          <w:sz w:val="16"/>
          <w:szCs w:val="16"/>
        </w:rPr>
        <w:t>.2016.17383.</w:t>
      </w:r>
    </w:p>
  </w:footnote>
  <w:footnote w:id="24">
    <w:p w14:paraId="4BD8F625" w14:textId="77777777" w:rsidR="00C60810" w:rsidRPr="00CA70D8" w:rsidRDefault="00C60810" w:rsidP="00847481">
      <w:pPr>
        <w:pStyle w:val="FootnoteText"/>
      </w:pPr>
      <w:r w:rsidRPr="00847481">
        <w:rPr>
          <w:rStyle w:val="FootnoteReference"/>
          <w:rFonts w:ascii="Arial" w:hAnsi="Arial" w:cs="Arial"/>
          <w:sz w:val="16"/>
          <w:szCs w:val="16"/>
        </w:rPr>
        <w:footnoteRef/>
      </w:r>
      <w:r w:rsidRPr="00847481">
        <w:rPr>
          <w:rFonts w:ascii="Arial" w:hAnsi="Arial" w:cs="Arial"/>
          <w:sz w:val="16"/>
          <w:szCs w:val="16"/>
        </w:rPr>
        <w:t xml:space="preserve"> Dickson, B., Mansfield, C., </w:t>
      </w:r>
      <w:proofErr w:type="spellStart"/>
      <w:r w:rsidRPr="00847481">
        <w:rPr>
          <w:rFonts w:ascii="Arial" w:hAnsi="Arial" w:cs="Arial"/>
          <w:sz w:val="16"/>
          <w:szCs w:val="16"/>
        </w:rPr>
        <w:t>Ghiahi</w:t>
      </w:r>
      <w:proofErr w:type="spellEnd"/>
      <w:r w:rsidRPr="00847481">
        <w:rPr>
          <w:rFonts w:ascii="Arial" w:hAnsi="Arial" w:cs="Arial"/>
          <w:sz w:val="16"/>
          <w:szCs w:val="16"/>
        </w:rPr>
        <w:t xml:space="preserve">, M., </w:t>
      </w:r>
      <w:proofErr w:type="spellStart"/>
      <w:r w:rsidRPr="00847481">
        <w:rPr>
          <w:rFonts w:ascii="Arial" w:hAnsi="Arial" w:cs="Arial"/>
          <w:sz w:val="16"/>
          <w:szCs w:val="16"/>
        </w:rPr>
        <w:t>Allshouse</w:t>
      </w:r>
      <w:proofErr w:type="spellEnd"/>
      <w:r w:rsidRPr="00847481">
        <w:rPr>
          <w:rFonts w:ascii="Arial" w:hAnsi="Arial" w:cs="Arial"/>
          <w:sz w:val="16"/>
          <w:szCs w:val="16"/>
        </w:rPr>
        <w:t xml:space="preserve">, A., </w:t>
      </w:r>
      <w:proofErr w:type="spellStart"/>
      <w:r w:rsidRPr="00847481">
        <w:rPr>
          <w:rFonts w:ascii="Arial" w:hAnsi="Arial" w:cs="Arial"/>
          <w:sz w:val="16"/>
          <w:szCs w:val="16"/>
        </w:rPr>
        <w:t>Borgelt</w:t>
      </w:r>
      <w:proofErr w:type="spellEnd"/>
      <w:r w:rsidRPr="00847481">
        <w:rPr>
          <w:rFonts w:ascii="Arial" w:hAnsi="Arial" w:cs="Arial"/>
          <w:sz w:val="16"/>
          <w:szCs w:val="16"/>
        </w:rPr>
        <w:t xml:space="preserve">, L., </w:t>
      </w:r>
      <w:proofErr w:type="spellStart"/>
      <w:r w:rsidRPr="00847481">
        <w:rPr>
          <w:rFonts w:ascii="Arial" w:hAnsi="Arial" w:cs="Arial"/>
          <w:sz w:val="16"/>
          <w:szCs w:val="16"/>
        </w:rPr>
        <w:t>Sheeder</w:t>
      </w:r>
      <w:proofErr w:type="spellEnd"/>
      <w:r w:rsidRPr="00847481">
        <w:rPr>
          <w:rFonts w:ascii="Arial" w:hAnsi="Arial" w:cs="Arial"/>
          <w:sz w:val="16"/>
          <w:szCs w:val="16"/>
        </w:rPr>
        <w:t xml:space="preserve">, J., Silver, R., &amp; Metz, T. (2018). Recommendations from cannabis dispensaries about first-trimester cannabis use. </w:t>
      </w:r>
      <w:r w:rsidRPr="00847481">
        <w:rPr>
          <w:rFonts w:ascii="Arial" w:hAnsi="Arial" w:cs="Arial"/>
          <w:i/>
          <w:sz w:val="16"/>
          <w:szCs w:val="16"/>
        </w:rPr>
        <w:t>Obstetrics &amp; Gynecology, 131</w:t>
      </w:r>
      <w:r w:rsidRPr="00847481">
        <w:rPr>
          <w:rFonts w:ascii="Arial" w:hAnsi="Arial" w:cs="Arial"/>
          <w:sz w:val="16"/>
          <w:szCs w:val="16"/>
        </w:rPr>
        <w:t>(6): 1031-1038. DOI: 10.1097/AOG.0000000000002619</w:t>
      </w:r>
    </w:p>
  </w:footnote>
  <w:footnote w:id="25">
    <w:p w14:paraId="3AB9B6F1" w14:textId="14F55281" w:rsidR="00C60810" w:rsidRPr="00F12A5E" w:rsidRDefault="00C60810" w:rsidP="00E5120D">
      <w:pPr>
        <w:pStyle w:val="FootnoteText"/>
        <w:ind w:right="-720"/>
        <w:rPr>
          <w:rFonts w:ascii="Arial" w:hAnsi="Arial" w:cs="Arial"/>
          <w:sz w:val="16"/>
          <w:szCs w:val="16"/>
        </w:rPr>
      </w:pPr>
      <w:r w:rsidRPr="00F12A5E">
        <w:rPr>
          <w:rStyle w:val="FootnoteReference"/>
          <w:rFonts w:ascii="Arial" w:hAnsi="Arial" w:cs="Arial"/>
          <w:sz w:val="16"/>
          <w:szCs w:val="16"/>
        </w:rPr>
        <w:footnoteRef/>
      </w:r>
      <w:r w:rsidRPr="00F12A5E">
        <w:rPr>
          <w:rFonts w:ascii="Arial" w:hAnsi="Arial" w:cs="Arial"/>
          <w:sz w:val="16"/>
          <w:szCs w:val="16"/>
        </w:rPr>
        <w:t xml:space="preserve"> Distilled Spirits Council of the United States. </w:t>
      </w:r>
      <w:r>
        <w:rPr>
          <w:rFonts w:ascii="Arial" w:hAnsi="Arial" w:cs="Arial"/>
          <w:sz w:val="16"/>
          <w:szCs w:val="16"/>
        </w:rPr>
        <w:t xml:space="preserve">(2011). </w:t>
      </w:r>
      <w:r w:rsidRPr="00F12A5E">
        <w:rPr>
          <w:rFonts w:ascii="Arial" w:hAnsi="Arial" w:cs="Arial"/>
          <w:i/>
          <w:iCs/>
          <w:sz w:val="16"/>
          <w:szCs w:val="16"/>
        </w:rPr>
        <w:t>Code of Responsible Practices for Beverage Alcohol Advertising and Marketing</w:t>
      </w:r>
      <w:r>
        <w:rPr>
          <w:rFonts w:ascii="Arial" w:hAnsi="Arial" w:cs="Arial"/>
          <w:sz w:val="16"/>
          <w:szCs w:val="16"/>
        </w:rPr>
        <w:t>. Washington, DC.</w:t>
      </w:r>
    </w:p>
  </w:footnote>
  <w:footnote w:id="26">
    <w:p w14:paraId="4FBCB2AD" w14:textId="4E775420" w:rsidR="00C60810" w:rsidRDefault="00C60810" w:rsidP="00E5120D">
      <w:pPr>
        <w:pStyle w:val="FootnoteText"/>
        <w:ind w:right="-720"/>
      </w:pPr>
      <w:r w:rsidRPr="00F12A5E">
        <w:rPr>
          <w:rStyle w:val="FootnoteReference"/>
          <w:rFonts w:ascii="Arial" w:hAnsi="Arial" w:cs="Arial"/>
          <w:sz w:val="16"/>
          <w:szCs w:val="16"/>
        </w:rPr>
        <w:footnoteRef/>
      </w:r>
      <w:r w:rsidRPr="00F12A5E">
        <w:rPr>
          <w:rFonts w:ascii="Arial" w:hAnsi="Arial" w:cs="Arial"/>
          <w:sz w:val="16"/>
          <w:szCs w:val="16"/>
        </w:rPr>
        <w:t xml:space="preserve"> </w:t>
      </w:r>
      <w:r w:rsidRPr="00F12A5E">
        <w:rPr>
          <w:rFonts w:ascii="Arial" w:eastAsia="Times New Roman" w:hAnsi="Arial" w:cs="Arial"/>
          <w:sz w:val="16"/>
          <w:szCs w:val="16"/>
        </w:rPr>
        <w:t>Beer Institute.</w:t>
      </w:r>
      <w:r>
        <w:rPr>
          <w:rFonts w:ascii="Arial" w:eastAsia="Times New Roman" w:hAnsi="Arial" w:cs="Arial"/>
          <w:sz w:val="16"/>
          <w:szCs w:val="16"/>
        </w:rPr>
        <w:t xml:space="preserve"> (2011).</w:t>
      </w:r>
      <w:r w:rsidRPr="00F12A5E">
        <w:rPr>
          <w:rFonts w:ascii="Arial" w:eastAsia="Times New Roman" w:hAnsi="Arial" w:cs="Arial"/>
          <w:sz w:val="16"/>
          <w:szCs w:val="16"/>
        </w:rPr>
        <w:t> </w:t>
      </w:r>
      <w:r w:rsidRPr="00F12A5E">
        <w:rPr>
          <w:rFonts w:ascii="Arial" w:eastAsia="Times New Roman" w:hAnsi="Arial" w:cs="Arial"/>
          <w:i/>
          <w:iCs/>
          <w:sz w:val="16"/>
          <w:szCs w:val="16"/>
        </w:rPr>
        <w:t>Advertising and Marketing Code</w:t>
      </w:r>
      <w:r>
        <w:rPr>
          <w:rFonts w:ascii="Arial" w:eastAsia="Times New Roman" w:hAnsi="Arial" w:cs="Arial"/>
          <w:sz w:val="16"/>
          <w:szCs w:val="16"/>
        </w:rPr>
        <w:t>. Washington, DC</w:t>
      </w:r>
      <w:r w:rsidRPr="00F12A5E">
        <w:rPr>
          <w:rFonts w:ascii="Arial" w:eastAsia="Times New Roman" w:hAnsi="Arial" w:cs="Arial"/>
          <w:sz w:val="16"/>
          <w:szCs w:val="16"/>
        </w:rPr>
        <w:t>. http://www.beerinstitute.org/assets/uploads/BI-AdCode-5-2011.pdf.</w:t>
      </w:r>
    </w:p>
  </w:footnote>
  <w:footnote w:id="27">
    <w:p w14:paraId="3A6F8B17" w14:textId="06AB3A74" w:rsidR="00C60810" w:rsidRPr="00F12A5E" w:rsidRDefault="00C60810" w:rsidP="00E5120D">
      <w:pPr>
        <w:pStyle w:val="FootnoteText"/>
        <w:ind w:right="-720"/>
        <w:rPr>
          <w:rFonts w:ascii="Arial" w:hAnsi="Arial" w:cs="Arial"/>
          <w:sz w:val="16"/>
          <w:szCs w:val="16"/>
        </w:rPr>
      </w:pPr>
      <w:r w:rsidRPr="00F12A5E">
        <w:rPr>
          <w:rStyle w:val="FootnoteReference"/>
          <w:rFonts w:ascii="Arial" w:hAnsi="Arial" w:cs="Arial"/>
          <w:sz w:val="16"/>
          <w:szCs w:val="16"/>
        </w:rPr>
        <w:footnoteRef/>
      </w:r>
      <w:r w:rsidRPr="00F12A5E">
        <w:rPr>
          <w:rFonts w:ascii="Arial" w:hAnsi="Arial" w:cs="Arial"/>
          <w:sz w:val="16"/>
          <w:szCs w:val="16"/>
        </w:rPr>
        <w:t xml:space="preserve"> </w:t>
      </w:r>
      <w:r w:rsidRPr="00F12A5E">
        <w:rPr>
          <w:rFonts w:ascii="Arial" w:hAnsi="Arial" w:cs="Arial"/>
          <w:color w:val="000000"/>
          <w:sz w:val="16"/>
          <w:szCs w:val="16"/>
        </w:rPr>
        <w:t>National Research Council and Institute of Medicine.</w:t>
      </w:r>
      <w:r w:rsidRPr="00F12A5E">
        <w:rPr>
          <w:rStyle w:val="apple-converted-space"/>
          <w:rFonts w:ascii="Arial" w:hAnsi="Arial" w:cs="Arial"/>
          <w:color w:val="000000"/>
          <w:sz w:val="16"/>
          <w:szCs w:val="16"/>
        </w:rPr>
        <w:t> </w:t>
      </w:r>
      <w:r w:rsidR="008C0384">
        <w:rPr>
          <w:rStyle w:val="apple-converted-space"/>
          <w:rFonts w:ascii="Arial" w:hAnsi="Arial" w:cs="Arial"/>
          <w:color w:val="000000"/>
          <w:sz w:val="16"/>
          <w:szCs w:val="16"/>
        </w:rPr>
        <w:t xml:space="preserve">(2004). </w:t>
      </w:r>
      <w:r w:rsidRPr="00F12A5E">
        <w:rPr>
          <w:rFonts w:ascii="Arial" w:hAnsi="Arial" w:cs="Arial"/>
          <w:i/>
          <w:iCs/>
          <w:color w:val="000000"/>
          <w:sz w:val="16"/>
          <w:szCs w:val="16"/>
        </w:rPr>
        <w:t>Reducing Underage Drinking: A Collective Responsibility.</w:t>
      </w:r>
      <w:r w:rsidRPr="00F12A5E">
        <w:rPr>
          <w:rStyle w:val="apple-converted-space"/>
          <w:rFonts w:ascii="Arial" w:hAnsi="Arial" w:cs="Arial"/>
          <w:color w:val="000000"/>
          <w:sz w:val="16"/>
          <w:szCs w:val="16"/>
        </w:rPr>
        <w:t> </w:t>
      </w:r>
      <w:r w:rsidRPr="00F12A5E">
        <w:rPr>
          <w:rFonts w:ascii="Arial" w:hAnsi="Arial" w:cs="Arial"/>
          <w:color w:val="000000"/>
          <w:sz w:val="16"/>
          <w:szCs w:val="16"/>
        </w:rPr>
        <w:t>Washington, D.C.: National Academies Press</w:t>
      </w:r>
      <w:r w:rsidR="008C0384">
        <w:rPr>
          <w:rFonts w:ascii="Arial" w:hAnsi="Arial" w:cs="Arial"/>
          <w:color w:val="000000"/>
          <w:sz w:val="16"/>
          <w:szCs w:val="16"/>
        </w:rPr>
        <w:t>.</w:t>
      </w:r>
    </w:p>
  </w:footnote>
  <w:footnote w:id="28">
    <w:p w14:paraId="483F52AD" w14:textId="6CBFDBB5" w:rsidR="00C60810" w:rsidRPr="00F12A5E" w:rsidRDefault="00C60810" w:rsidP="00E5120D">
      <w:pPr>
        <w:pStyle w:val="FootnoteText"/>
        <w:ind w:right="-720"/>
        <w:rPr>
          <w:rFonts w:ascii="Arial" w:hAnsi="Arial" w:cs="Arial"/>
          <w:sz w:val="16"/>
          <w:szCs w:val="16"/>
        </w:rPr>
      </w:pPr>
      <w:r w:rsidRPr="00F12A5E">
        <w:rPr>
          <w:rStyle w:val="FootnoteReference"/>
          <w:rFonts w:ascii="Arial" w:hAnsi="Arial" w:cs="Arial"/>
          <w:sz w:val="16"/>
          <w:szCs w:val="16"/>
        </w:rPr>
        <w:footnoteRef/>
      </w:r>
      <w:r w:rsidRPr="00F12A5E">
        <w:rPr>
          <w:rFonts w:ascii="Arial" w:hAnsi="Arial" w:cs="Arial"/>
          <w:sz w:val="16"/>
          <w:szCs w:val="16"/>
        </w:rPr>
        <w:t xml:space="preserve"> Distilled Spirits Council of the United States. </w:t>
      </w:r>
      <w:r w:rsidR="008C0384">
        <w:rPr>
          <w:rFonts w:ascii="Arial" w:hAnsi="Arial" w:cs="Arial"/>
          <w:sz w:val="16"/>
          <w:szCs w:val="16"/>
        </w:rPr>
        <w:t xml:space="preserve">(2011). </w:t>
      </w:r>
      <w:r w:rsidRPr="00F12A5E">
        <w:rPr>
          <w:rFonts w:ascii="Arial" w:hAnsi="Arial" w:cs="Arial"/>
          <w:i/>
          <w:iCs/>
          <w:sz w:val="16"/>
          <w:szCs w:val="16"/>
        </w:rPr>
        <w:t>Code of Responsible Practices for Beverage Alcohol Advertising and Marketing</w:t>
      </w:r>
      <w:r w:rsidR="008C0384">
        <w:rPr>
          <w:rFonts w:ascii="Arial" w:hAnsi="Arial" w:cs="Arial"/>
          <w:sz w:val="16"/>
          <w:szCs w:val="16"/>
        </w:rPr>
        <w:t>. Washington, DC</w:t>
      </w:r>
      <w:r w:rsidRPr="00F12A5E">
        <w:rPr>
          <w:rFonts w:ascii="Arial" w:hAnsi="Arial" w:cs="Arial"/>
          <w:sz w:val="16"/>
          <w:szCs w:val="16"/>
        </w:rPr>
        <w:t>. http://www.discus.org/assets/1/7/May_26_2011_DISCUS_Code_Word_Version1.pdf</w:t>
      </w:r>
    </w:p>
  </w:footnote>
  <w:footnote w:id="29">
    <w:p w14:paraId="66772B59" w14:textId="4C92C439" w:rsidR="00C60810" w:rsidRDefault="00C60810" w:rsidP="00E5120D">
      <w:pPr>
        <w:pStyle w:val="FootnoteText"/>
        <w:ind w:right="-720"/>
      </w:pPr>
      <w:r w:rsidRPr="00F12A5E">
        <w:rPr>
          <w:rStyle w:val="FootnoteReference"/>
          <w:rFonts w:ascii="Arial" w:hAnsi="Arial" w:cs="Arial"/>
          <w:sz w:val="16"/>
          <w:szCs w:val="16"/>
        </w:rPr>
        <w:footnoteRef/>
      </w:r>
      <w:r w:rsidRPr="00F12A5E">
        <w:rPr>
          <w:rFonts w:ascii="Arial" w:hAnsi="Arial" w:cs="Arial"/>
          <w:sz w:val="16"/>
          <w:szCs w:val="16"/>
        </w:rPr>
        <w:t xml:space="preserve"> </w:t>
      </w:r>
      <w:r w:rsidRPr="00F12A5E">
        <w:rPr>
          <w:rFonts w:ascii="Arial" w:eastAsia="Times New Roman" w:hAnsi="Arial" w:cs="Arial"/>
          <w:sz w:val="16"/>
          <w:szCs w:val="16"/>
        </w:rPr>
        <w:t>Beer I</w:t>
      </w:r>
      <w:r>
        <w:rPr>
          <w:rFonts w:ascii="Arial" w:eastAsia="Times New Roman" w:hAnsi="Arial" w:cs="Arial"/>
          <w:sz w:val="16"/>
          <w:szCs w:val="16"/>
        </w:rPr>
        <w:t>nstitute. (2011).</w:t>
      </w:r>
      <w:r w:rsidRPr="00F12A5E">
        <w:rPr>
          <w:rFonts w:ascii="Arial" w:eastAsia="Times New Roman" w:hAnsi="Arial" w:cs="Arial"/>
          <w:sz w:val="16"/>
          <w:szCs w:val="16"/>
        </w:rPr>
        <w:t> </w:t>
      </w:r>
      <w:r w:rsidRPr="00F12A5E">
        <w:rPr>
          <w:rFonts w:ascii="Arial" w:eastAsia="Times New Roman" w:hAnsi="Arial" w:cs="Arial"/>
          <w:i/>
          <w:iCs/>
          <w:sz w:val="16"/>
          <w:szCs w:val="16"/>
        </w:rPr>
        <w:t>Advertising and Marketing Code</w:t>
      </w:r>
      <w:r>
        <w:rPr>
          <w:rFonts w:ascii="Arial" w:eastAsia="Times New Roman" w:hAnsi="Arial" w:cs="Arial"/>
          <w:sz w:val="16"/>
          <w:szCs w:val="16"/>
        </w:rPr>
        <w:t>. Washington, DC.</w:t>
      </w:r>
      <w:r w:rsidRPr="00F12A5E">
        <w:rPr>
          <w:rFonts w:ascii="Arial" w:eastAsia="Times New Roman" w:hAnsi="Arial" w:cs="Arial"/>
          <w:sz w:val="16"/>
          <w:szCs w:val="16"/>
        </w:rPr>
        <w:t xml:space="preserve"> http://www.beerinstitute.org/assets/uploads/BI-AdCode-5-2011.pdf.</w:t>
      </w:r>
    </w:p>
  </w:footnote>
  <w:footnote w:id="30">
    <w:p w14:paraId="0E03E79A" w14:textId="77777777" w:rsidR="00C60810" w:rsidRPr="00F12A5E" w:rsidRDefault="00C60810" w:rsidP="00E5120D">
      <w:pPr>
        <w:pStyle w:val="FootnoteText"/>
        <w:ind w:right="-720"/>
        <w:rPr>
          <w:rFonts w:ascii="Arial" w:hAnsi="Arial" w:cs="Arial"/>
          <w:sz w:val="16"/>
          <w:szCs w:val="16"/>
        </w:rPr>
      </w:pPr>
      <w:r w:rsidRPr="00F12A5E">
        <w:rPr>
          <w:rStyle w:val="FootnoteReference"/>
          <w:rFonts w:ascii="Arial" w:hAnsi="Arial" w:cs="Arial"/>
          <w:sz w:val="16"/>
          <w:szCs w:val="16"/>
        </w:rPr>
        <w:footnoteRef/>
      </w:r>
      <w:r w:rsidRPr="00F12A5E">
        <w:rPr>
          <w:rFonts w:ascii="Arial" w:hAnsi="Arial" w:cs="Arial"/>
          <w:sz w:val="16"/>
          <w:szCs w:val="16"/>
        </w:rPr>
        <w:t xml:space="preserve"> Jernigan, D., </w:t>
      </w:r>
      <w:proofErr w:type="spellStart"/>
      <w:r w:rsidRPr="00F12A5E">
        <w:rPr>
          <w:rFonts w:ascii="Arial" w:hAnsi="Arial" w:cs="Arial"/>
          <w:sz w:val="16"/>
          <w:szCs w:val="16"/>
        </w:rPr>
        <w:t>Ostroff</w:t>
      </w:r>
      <w:proofErr w:type="spellEnd"/>
      <w:r w:rsidRPr="00F12A5E">
        <w:rPr>
          <w:rFonts w:ascii="Arial" w:hAnsi="Arial" w:cs="Arial"/>
          <w:sz w:val="16"/>
          <w:szCs w:val="16"/>
        </w:rPr>
        <w:t xml:space="preserve">, J., &amp; Ross, C.J. (2005). Alcohol Advertising and Youth: A Measured Approach, </w:t>
      </w:r>
      <w:r w:rsidRPr="00F12A5E">
        <w:rPr>
          <w:rFonts w:ascii="Arial" w:hAnsi="Arial" w:cs="Arial"/>
          <w:i/>
          <w:sz w:val="16"/>
          <w:szCs w:val="16"/>
        </w:rPr>
        <w:t>Journal of Public Health Policy, 26;</w:t>
      </w:r>
      <w:r w:rsidRPr="00F12A5E">
        <w:rPr>
          <w:rFonts w:ascii="Arial" w:hAnsi="Arial" w:cs="Arial"/>
          <w:sz w:val="16"/>
          <w:szCs w:val="16"/>
        </w:rPr>
        <w:t xml:space="preserve"> 312-325</w:t>
      </w:r>
    </w:p>
  </w:footnote>
  <w:footnote w:id="31">
    <w:p w14:paraId="16C04596" w14:textId="75C286E5" w:rsidR="00C60810" w:rsidRPr="000F55AE" w:rsidRDefault="00C60810">
      <w:pPr>
        <w:pStyle w:val="FootnoteText"/>
        <w:rPr>
          <w:rFonts w:ascii="Arial" w:hAnsi="Arial" w:cs="Arial"/>
          <w:sz w:val="16"/>
          <w:szCs w:val="16"/>
        </w:rPr>
      </w:pPr>
      <w:r w:rsidRPr="000F55AE">
        <w:rPr>
          <w:rStyle w:val="FootnoteReference"/>
          <w:rFonts w:ascii="Arial" w:hAnsi="Arial" w:cs="Arial"/>
          <w:sz w:val="16"/>
          <w:szCs w:val="16"/>
        </w:rPr>
        <w:footnoteRef/>
      </w:r>
      <w:r w:rsidRPr="000F55AE">
        <w:rPr>
          <w:rFonts w:ascii="Arial" w:hAnsi="Arial" w:cs="Arial"/>
          <w:sz w:val="16"/>
          <w:szCs w:val="16"/>
        </w:rPr>
        <w:t xml:space="preserve"> https://cbs6albany.com/news/local/new-york-first-state-to-test-new-app-busting-underage-drinkers-using-fake-ids</w:t>
      </w:r>
    </w:p>
  </w:footnote>
  <w:footnote w:id="32">
    <w:p w14:paraId="03DFCFAE" w14:textId="3BCB89E5" w:rsidR="00C60810" w:rsidRPr="00AC67E9" w:rsidRDefault="00C60810" w:rsidP="00AC67E9">
      <w:pPr>
        <w:ind w:right="-720"/>
        <w:rPr>
          <w:rFonts w:ascii="Arial" w:hAnsi="Arial" w:cs="Arial"/>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Kessler, G. Amended Final Opinion in US. V Philip Morris USA Inc.</w:t>
      </w:r>
      <w:r>
        <w:rPr>
          <w:rFonts w:ascii="Arial" w:hAnsi="Arial" w:cs="Arial"/>
          <w:sz w:val="16"/>
          <w:szCs w:val="16"/>
        </w:rPr>
        <w:t xml:space="preserve"> </w:t>
      </w:r>
      <w:r w:rsidRPr="00AC67E9">
        <w:rPr>
          <w:rFonts w:ascii="Arial" w:hAnsi="Arial" w:cs="Arial"/>
          <w:sz w:val="16"/>
          <w:szCs w:val="16"/>
        </w:rPr>
        <w:t xml:space="preserve">United States District Court for the District of Columbia. Civil Action No. 99-2496 (GK) </w:t>
      </w:r>
      <w:r w:rsidRPr="00AC67E9">
        <w:rPr>
          <w:rFonts w:ascii="Arial" w:hAnsi="Arial" w:cs="Arial"/>
          <w:color w:val="000000"/>
          <w:sz w:val="16"/>
          <w:szCs w:val="16"/>
          <w:shd w:val="clear" w:color="auto" w:fill="FFFFFF"/>
        </w:rPr>
        <w:t>449 F.Supp.2d 1 (D.D.C. 2006)</w:t>
      </w:r>
    </w:p>
  </w:footnote>
  <w:footnote w:id="33">
    <w:p w14:paraId="3C2EEF59" w14:textId="25151A4B" w:rsidR="00C60810" w:rsidRPr="00AC67E9" w:rsidRDefault="00C60810" w:rsidP="00AC67E9">
      <w:pPr>
        <w:ind w:right="-720"/>
        <w:rPr>
          <w:rFonts w:ascii="Arial" w:hAnsi="Arial" w:cs="Arial"/>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w:t>
      </w:r>
      <w:proofErr w:type="spellStart"/>
      <w:r w:rsidRPr="00AC67E9">
        <w:rPr>
          <w:rStyle w:val="hlfld-contribauthor"/>
          <w:rFonts w:ascii="Arial" w:hAnsi="Arial" w:cs="Arial"/>
          <w:color w:val="333333"/>
          <w:sz w:val="16"/>
          <w:szCs w:val="16"/>
        </w:rPr>
        <w:t>ElSohly</w:t>
      </w:r>
      <w:proofErr w:type="spellEnd"/>
      <w:r w:rsidRPr="00AC67E9">
        <w:rPr>
          <w:rStyle w:val="hlfld-contribauthor"/>
          <w:rFonts w:ascii="Arial" w:hAnsi="Arial" w:cs="Arial"/>
          <w:color w:val="333333"/>
          <w:sz w:val="16"/>
          <w:szCs w:val="16"/>
        </w:rPr>
        <w:t>, </w:t>
      </w:r>
      <w:r w:rsidRPr="00AC67E9">
        <w:rPr>
          <w:rStyle w:val="nlmgiven-names"/>
          <w:rFonts w:ascii="Arial" w:hAnsi="Arial" w:cs="Arial"/>
          <w:color w:val="333333"/>
          <w:sz w:val="16"/>
          <w:szCs w:val="16"/>
        </w:rPr>
        <w:t>M. A.</w:t>
      </w:r>
      <w:r w:rsidRPr="00AC67E9">
        <w:rPr>
          <w:rFonts w:ascii="Arial" w:hAnsi="Arial" w:cs="Arial"/>
          <w:color w:val="333333"/>
          <w:sz w:val="16"/>
          <w:szCs w:val="16"/>
        </w:rPr>
        <w:t>, </w:t>
      </w:r>
      <w:proofErr w:type="spellStart"/>
      <w:r w:rsidRPr="00AC67E9">
        <w:rPr>
          <w:rStyle w:val="hlfld-contribauthor"/>
          <w:rFonts w:ascii="Arial" w:hAnsi="Arial" w:cs="Arial"/>
          <w:color w:val="333333"/>
          <w:sz w:val="16"/>
          <w:szCs w:val="16"/>
        </w:rPr>
        <w:t>Mehmedic</w:t>
      </w:r>
      <w:proofErr w:type="spellEnd"/>
      <w:r w:rsidRPr="00AC67E9">
        <w:rPr>
          <w:rStyle w:val="hlfld-contribauthor"/>
          <w:rFonts w:ascii="Arial" w:hAnsi="Arial" w:cs="Arial"/>
          <w:color w:val="333333"/>
          <w:sz w:val="16"/>
          <w:szCs w:val="16"/>
        </w:rPr>
        <w:t>, </w:t>
      </w:r>
      <w:r w:rsidRPr="00AC67E9">
        <w:rPr>
          <w:rStyle w:val="nlmgiven-names"/>
          <w:rFonts w:ascii="Arial" w:hAnsi="Arial" w:cs="Arial"/>
          <w:color w:val="333333"/>
          <w:sz w:val="16"/>
          <w:szCs w:val="16"/>
        </w:rPr>
        <w:t>Z.</w:t>
      </w:r>
      <w:r w:rsidRPr="00AC67E9">
        <w:rPr>
          <w:rFonts w:ascii="Arial" w:hAnsi="Arial" w:cs="Arial"/>
          <w:color w:val="333333"/>
          <w:sz w:val="16"/>
          <w:szCs w:val="16"/>
        </w:rPr>
        <w:t>, </w:t>
      </w:r>
      <w:r w:rsidRPr="00AC67E9">
        <w:rPr>
          <w:rStyle w:val="hlfld-contribauthor"/>
          <w:rFonts w:ascii="Arial" w:hAnsi="Arial" w:cs="Arial"/>
          <w:color w:val="333333"/>
          <w:sz w:val="16"/>
          <w:szCs w:val="16"/>
        </w:rPr>
        <w:t>Foster, </w:t>
      </w:r>
      <w:r w:rsidRPr="00AC67E9">
        <w:rPr>
          <w:rStyle w:val="nlmgiven-names"/>
          <w:rFonts w:ascii="Arial" w:hAnsi="Arial" w:cs="Arial"/>
          <w:color w:val="333333"/>
          <w:sz w:val="16"/>
          <w:szCs w:val="16"/>
        </w:rPr>
        <w:t>S.</w:t>
      </w:r>
      <w:r w:rsidRPr="00AC67E9">
        <w:rPr>
          <w:rFonts w:ascii="Arial" w:hAnsi="Arial" w:cs="Arial"/>
          <w:color w:val="333333"/>
          <w:sz w:val="16"/>
          <w:szCs w:val="16"/>
        </w:rPr>
        <w:t>, </w:t>
      </w:r>
      <w:proofErr w:type="spellStart"/>
      <w:r w:rsidRPr="00AC67E9">
        <w:rPr>
          <w:rStyle w:val="hlfld-contribauthor"/>
          <w:rFonts w:ascii="Arial" w:hAnsi="Arial" w:cs="Arial"/>
          <w:color w:val="333333"/>
          <w:sz w:val="16"/>
          <w:szCs w:val="16"/>
        </w:rPr>
        <w:t>Gon</w:t>
      </w:r>
      <w:proofErr w:type="spellEnd"/>
      <w:r w:rsidRPr="00AC67E9">
        <w:rPr>
          <w:rStyle w:val="hlfld-contribauthor"/>
          <w:rFonts w:ascii="Arial" w:hAnsi="Arial" w:cs="Arial"/>
          <w:color w:val="333333"/>
          <w:sz w:val="16"/>
          <w:szCs w:val="16"/>
        </w:rPr>
        <w:t>, </w:t>
      </w:r>
      <w:r w:rsidRPr="00AC67E9">
        <w:rPr>
          <w:rStyle w:val="nlmgiven-names"/>
          <w:rFonts w:ascii="Arial" w:hAnsi="Arial" w:cs="Arial"/>
          <w:color w:val="333333"/>
          <w:sz w:val="16"/>
          <w:szCs w:val="16"/>
        </w:rPr>
        <w:t>C.</w:t>
      </w:r>
      <w:r w:rsidRPr="00AC67E9">
        <w:rPr>
          <w:rFonts w:ascii="Arial" w:hAnsi="Arial" w:cs="Arial"/>
          <w:color w:val="333333"/>
          <w:sz w:val="16"/>
          <w:szCs w:val="16"/>
        </w:rPr>
        <w:t>, </w:t>
      </w:r>
      <w:r w:rsidRPr="00AC67E9">
        <w:rPr>
          <w:rStyle w:val="hlfld-contribauthor"/>
          <w:rFonts w:ascii="Arial" w:hAnsi="Arial" w:cs="Arial"/>
          <w:color w:val="333333"/>
          <w:sz w:val="16"/>
          <w:szCs w:val="16"/>
        </w:rPr>
        <w:t>Chandra, </w:t>
      </w:r>
      <w:r w:rsidRPr="00AC67E9">
        <w:rPr>
          <w:rStyle w:val="nlmgiven-names"/>
          <w:rFonts w:ascii="Arial" w:hAnsi="Arial" w:cs="Arial"/>
          <w:color w:val="333333"/>
          <w:sz w:val="16"/>
          <w:szCs w:val="16"/>
        </w:rPr>
        <w:t>S.</w:t>
      </w:r>
      <w:r w:rsidRPr="00AC67E9">
        <w:rPr>
          <w:rFonts w:ascii="Arial" w:hAnsi="Arial" w:cs="Arial"/>
          <w:color w:val="333333"/>
          <w:sz w:val="16"/>
          <w:szCs w:val="16"/>
        </w:rPr>
        <w:t>, &amp; </w:t>
      </w:r>
      <w:r w:rsidRPr="00AC67E9">
        <w:rPr>
          <w:rStyle w:val="hlfld-contribauthor"/>
          <w:rFonts w:ascii="Arial" w:hAnsi="Arial" w:cs="Arial"/>
          <w:color w:val="333333"/>
          <w:sz w:val="16"/>
          <w:szCs w:val="16"/>
        </w:rPr>
        <w:t>Church, </w:t>
      </w:r>
      <w:r w:rsidRPr="00AC67E9">
        <w:rPr>
          <w:rStyle w:val="nlmgiven-names"/>
          <w:rFonts w:ascii="Arial" w:hAnsi="Arial" w:cs="Arial"/>
          <w:color w:val="333333"/>
          <w:sz w:val="16"/>
          <w:szCs w:val="16"/>
        </w:rPr>
        <w:t>J. C.</w:t>
      </w:r>
      <w:r w:rsidRPr="00AC67E9">
        <w:rPr>
          <w:rFonts w:ascii="Arial" w:hAnsi="Arial" w:cs="Arial"/>
          <w:color w:val="333333"/>
          <w:sz w:val="16"/>
          <w:szCs w:val="16"/>
        </w:rPr>
        <w:t> (</w:t>
      </w:r>
      <w:r w:rsidRPr="00AC67E9">
        <w:rPr>
          <w:rStyle w:val="nlmyear"/>
          <w:rFonts w:ascii="Arial" w:hAnsi="Arial" w:cs="Arial"/>
          <w:color w:val="333333"/>
          <w:sz w:val="16"/>
          <w:szCs w:val="16"/>
        </w:rPr>
        <w:t>2016</w:t>
      </w:r>
      <w:r w:rsidRPr="00AC67E9">
        <w:rPr>
          <w:rFonts w:ascii="Arial" w:hAnsi="Arial" w:cs="Arial"/>
          <w:color w:val="333333"/>
          <w:sz w:val="16"/>
          <w:szCs w:val="16"/>
        </w:rPr>
        <w:t>). </w:t>
      </w:r>
      <w:r w:rsidRPr="00AC67E9">
        <w:rPr>
          <w:rStyle w:val="nlmarticle-title"/>
          <w:rFonts w:ascii="Arial" w:hAnsi="Arial" w:cs="Arial"/>
          <w:sz w:val="16"/>
          <w:szCs w:val="16"/>
        </w:rPr>
        <w:t>Changes in Cannabis Potency Over the Last 2 Decades (1995-2014): Analysis of Current Data in the United States</w:t>
      </w:r>
      <w:r w:rsidRPr="00AC67E9">
        <w:rPr>
          <w:rFonts w:ascii="Arial" w:hAnsi="Arial" w:cs="Arial"/>
          <w:sz w:val="16"/>
          <w:szCs w:val="16"/>
        </w:rPr>
        <w:t xml:space="preserve">. </w:t>
      </w:r>
      <w:r w:rsidRPr="008C0384">
        <w:rPr>
          <w:rFonts w:ascii="Arial" w:hAnsi="Arial" w:cs="Arial"/>
          <w:i/>
          <w:sz w:val="16"/>
          <w:szCs w:val="16"/>
        </w:rPr>
        <w:t>Biological Psychiatry, 79</w:t>
      </w:r>
      <w:r w:rsidR="008C0384">
        <w:rPr>
          <w:rFonts w:ascii="Arial" w:hAnsi="Arial" w:cs="Arial"/>
          <w:sz w:val="16"/>
          <w:szCs w:val="16"/>
        </w:rPr>
        <w:t>:</w:t>
      </w:r>
      <w:r w:rsidRPr="00AC67E9">
        <w:rPr>
          <w:rFonts w:ascii="Arial" w:hAnsi="Arial" w:cs="Arial"/>
          <w:sz w:val="16"/>
          <w:szCs w:val="16"/>
        </w:rPr>
        <w:t> </w:t>
      </w:r>
      <w:r w:rsidRPr="00AC67E9">
        <w:rPr>
          <w:rStyle w:val="nlmfpage"/>
          <w:rFonts w:ascii="Arial" w:hAnsi="Arial" w:cs="Arial"/>
          <w:sz w:val="16"/>
          <w:szCs w:val="16"/>
        </w:rPr>
        <w:t>613</w:t>
      </w:r>
      <w:r w:rsidRPr="00AC67E9">
        <w:rPr>
          <w:rFonts w:ascii="Arial" w:hAnsi="Arial" w:cs="Arial"/>
          <w:sz w:val="16"/>
          <w:szCs w:val="16"/>
        </w:rPr>
        <w:t>–</w:t>
      </w:r>
      <w:r w:rsidRPr="00AC67E9">
        <w:rPr>
          <w:rStyle w:val="nlmlpage"/>
          <w:rFonts w:ascii="Arial" w:hAnsi="Arial" w:cs="Arial"/>
          <w:sz w:val="16"/>
          <w:szCs w:val="16"/>
        </w:rPr>
        <w:t>619</w:t>
      </w:r>
      <w:r w:rsidRPr="00AC67E9">
        <w:rPr>
          <w:rFonts w:ascii="Arial" w:hAnsi="Arial" w:cs="Arial"/>
          <w:sz w:val="16"/>
          <w:szCs w:val="16"/>
        </w:rPr>
        <w:t>. doi:</w:t>
      </w:r>
      <w:hyperlink r:id="rId1" w:tgtFrame="_blank" w:history="1">
        <w:r w:rsidRPr="00AC67E9">
          <w:rPr>
            <w:rStyle w:val="Hyperlink"/>
            <w:rFonts w:ascii="Arial" w:hAnsi="Arial" w:cs="Arial"/>
            <w:color w:val="auto"/>
            <w:sz w:val="16"/>
            <w:szCs w:val="16"/>
            <w:u w:val="none"/>
          </w:rPr>
          <w:t>10.1016/j.biopsych.2016.01.004</w:t>
        </w:r>
      </w:hyperlink>
    </w:p>
  </w:footnote>
  <w:footnote w:id="34">
    <w:p w14:paraId="6FA0F874" w14:textId="22B489C5" w:rsidR="00C60810" w:rsidRPr="00F03390" w:rsidRDefault="00C60810" w:rsidP="00AC67E9">
      <w:pPr>
        <w:pStyle w:val="Heading1"/>
        <w:shd w:val="clear" w:color="auto" w:fill="FFFFFF"/>
        <w:adjustRightInd w:val="0"/>
        <w:snapToGrid w:val="0"/>
        <w:spacing w:before="0" w:beforeAutospacing="0" w:after="0" w:afterAutospacing="0"/>
        <w:ind w:right="-720"/>
        <w:contextualSpacing/>
        <w:rPr>
          <w:rFonts w:ascii="Arial" w:hAnsi="Arial" w:cs="Arial"/>
          <w:color w:val="000000"/>
          <w:sz w:val="16"/>
          <w:szCs w:val="16"/>
        </w:rPr>
      </w:pPr>
      <w:r w:rsidRPr="00AC67E9">
        <w:rPr>
          <w:rStyle w:val="FootnoteReference"/>
          <w:rFonts w:ascii="Arial" w:hAnsi="Arial" w:cs="Arial"/>
          <w:b w:val="0"/>
          <w:sz w:val="16"/>
          <w:szCs w:val="16"/>
        </w:rPr>
        <w:footnoteRef/>
      </w:r>
      <w:r w:rsidRPr="00AC67E9">
        <w:rPr>
          <w:rFonts w:ascii="Arial" w:hAnsi="Arial" w:cs="Arial"/>
          <w:b w:val="0"/>
          <w:sz w:val="16"/>
          <w:szCs w:val="16"/>
        </w:rPr>
        <w:t xml:space="preserve"> </w:t>
      </w:r>
      <w:r w:rsidRPr="00AC67E9">
        <w:rPr>
          <w:rStyle w:val="highlight"/>
          <w:rFonts w:ascii="Arial" w:hAnsi="Arial" w:cs="Arial"/>
          <w:b w:val="0"/>
          <w:sz w:val="16"/>
          <w:szCs w:val="16"/>
        </w:rPr>
        <w:t>Smart</w:t>
      </w:r>
      <w:r w:rsidRPr="00AC67E9">
        <w:rPr>
          <w:rFonts w:ascii="Arial" w:hAnsi="Arial" w:cs="Arial"/>
          <w:b w:val="0"/>
          <w:sz w:val="16"/>
          <w:szCs w:val="16"/>
        </w:rPr>
        <w:t> </w:t>
      </w:r>
      <w:r w:rsidRPr="00AC67E9">
        <w:rPr>
          <w:rFonts w:ascii="Arial" w:hAnsi="Arial" w:cs="Arial"/>
          <w:b w:val="0"/>
          <w:color w:val="000000"/>
          <w:sz w:val="16"/>
          <w:szCs w:val="16"/>
        </w:rPr>
        <w:t>R, </w:t>
      </w:r>
      <w:proofErr w:type="spellStart"/>
      <w:r w:rsidRPr="00AC67E9">
        <w:rPr>
          <w:rFonts w:ascii="Arial" w:hAnsi="Arial" w:cs="Arial"/>
          <w:b w:val="0"/>
          <w:color w:val="000000"/>
          <w:sz w:val="16"/>
          <w:szCs w:val="16"/>
        </w:rPr>
        <w:t>Caulkins</w:t>
      </w:r>
      <w:proofErr w:type="spellEnd"/>
      <w:r w:rsidRPr="00AC67E9">
        <w:rPr>
          <w:rFonts w:ascii="Arial" w:hAnsi="Arial" w:cs="Arial"/>
          <w:b w:val="0"/>
          <w:color w:val="000000"/>
          <w:sz w:val="16"/>
          <w:szCs w:val="16"/>
        </w:rPr>
        <w:t xml:space="preserve"> JP, Kilmer B, Davenport S, </w:t>
      </w:r>
      <w:proofErr w:type="spellStart"/>
      <w:r w:rsidRPr="00AC67E9">
        <w:rPr>
          <w:rFonts w:ascii="Arial" w:hAnsi="Arial" w:cs="Arial"/>
          <w:b w:val="0"/>
          <w:color w:val="000000"/>
          <w:sz w:val="16"/>
          <w:szCs w:val="16"/>
        </w:rPr>
        <w:t>Midgette</w:t>
      </w:r>
      <w:proofErr w:type="spellEnd"/>
      <w:r w:rsidRPr="00AC67E9">
        <w:rPr>
          <w:rFonts w:ascii="Arial" w:hAnsi="Arial" w:cs="Arial"/>
          <w:b w:val="0"/>
          <w:color w:val="000000"/>
          <w:sz w:val="16"/>
          <w:szCs w:val="16"/>
        </w:rPr>
        <w:t xml:space="preserve"> G. </w:t>
      </w:r>
      <w:r w:rsidR="008C0384">
        <w:rPr>
          <w:rFonts w:ascii="Arial" w:hAnsi="Arial" w:cs="Arial"/>
          <w:b w:val="0"/>
          <w:color w:val="000000"/>
          <w:sz w:val="16"/>
          <w:szCs w:val="16"/>
        </w:rPr>
        <w:t xml:space="preserve">(2017). </w:t>
      </w:r>
      <w:r w:rsidRPr="00AC67E9">
        <w:rPr>
          <w:rFonts w:ascii="Arial" w:hAnsi="Arial" w:cs="Arial"/>
          <w:b w:val="0"/>
          <w:color w:val="000000"/>
          <w:sz w:val="16"/>
          <w:szCs w:val="16"/>
        </w:rPr>
        <w:t>Variation in </w:t>
      </w:r>
      <w:r w:rsidRPr="00AC67E9">
        <w:rPr>
          <w:rStyle w:val="highlight"/>
          <w:rFonts w:ascii="Arial" w:hAnsi="Arial" w:cs="Arial"/>
          <w:b w:val="0"/>
          <w:color w:val="000000"/>
          <w:sz w:val="16"/>
          <w:szCs w:val="16"/>
        </w:rPr>
        <w:t>cannabis</w:t>
      </w:r>
      <w:r w:rsidRPr="00AC67E9">
        <w:rPr>
          <w:rFonts w:ascii="Arial" w:hAnsi="Arial" w:cs="Arial"/>
          <w:b w:val="0"/>
          <w:color w:val="000000"/>
          <w:sz w:val="16"/>
          <w:szCs w:val="16"/>
        </w:rPr>
        <w:t> potency and prices in a newly legal market: evidence from 30 million </w:t>
      </w:r>
      <w:r w:rsidRPr="00AC67E9">
        <w:rPr>
          <w:rStyle w:val="highlight"/>
          <w:rFonts w:ascii="Arial" w:hAnsi="Arial" w:cs="Arial"/>
          <w:b w:val="0"/>
          <w:color w:val="000000"/>
          <w:sz w:val="16"/>
          <w:szCs w:val="16"/>
        </w:rPr>
        <w:t>cannabis</w:t>
      </w:r>
      <w:r w:rsidRPr="00AC67E9">
        <w:rPr>
          <w:rFonts w:ascii="Arial" w:hAnsi="Arial" w:cs="Arial"/>
          <w:b w:val="0"/>
          <w:color w:val="000000"/>
          <w:sz w:val="16"/>
          <w:szCs w:val="16"/>
        </w:rPr>
        <w:t> sales in </w:t>
      </w:r>
      <w:proofErr w:type="spellStart"/>
      <w:r w:rsidRPr="00AC67E9">
        <w:rPr>
          <w:rStyle w:val="highlight"/>
          <w:rFonts w:ascii="Arial" w:hAnsi="Arial" w:cs="Arial"/>
          <w:b w:val="0"/>
          <w:color w:val="000000"/>
          <w:sz w:val="16"/>
          <w:szCs w:val="16"/>
        </w:rPr>
        <w:t>Wshington</w:t>
      </w:r>
      <w:proofErr w:type="spellEnd"/>
      <w:r w:rsidRPr="00AC67E9">
        <w:rPr>
          <w:rFonts w:ascii="Arial" w:hAnsi="Arial" w:cs="Arial"/>
          <w:b w:val="0"/>
          <w:color w:val="000000"/>
          <w:sz w:val="16"/>
          <w:szCs w:val="16"/>
        </w:rPr>
        <w:t xml:space="preserve"> state. </w:t>
      </w:r>
      <w:r w:rsidRPr="008C0384">
        <w:rPr>
          <w:rFonts w:ascii="Arial" w:hAnsi="Arial" w:cs="Arial"/>
          <w:b w:val="0"/>
          <w:i/>
          <w:color w:val="000000"/>
          <w:sz w:val="16"/>
          <w:szCs w:val="16"/>
        </w:rPr>
        <w:t>Addiction.</w:t>
      </w:r>
      <w:r w:rsidR="008C0384" w:rsidRPr="00F03390">
        <w:rPr>
          <w:rFonts w:ascii="Arial" w:hAnsi="Arial" w:cs="Arial"/>
          <w:b w:val="0"/>
          <w:i/>
          <w:color w:val="000000"/>
          <w:sz w:val="16"/>
          <w:szCs w:val="16"/>
        </w:rPr>
        <w:t xml:space="preserve"> </w:t>
      </w:r>
      <w:r w:rsidRPr="00F03390">
        <w:rPr>
          <w:rFonts w:ascii="Arial" w:hAnsi="Arial" w:cs="Arial"/>
          <w:b w:val="0"/>
          <w:i/>
          <w:color w:val="000000"/>
          <w:sz w:val="16"/>
          <w:szCs w:val="16"/>
        </w:rPr>
        <w:t>112</w:t>
      </w:r>
      <w:r w:rsidRPr="00F03390">
        <w:rPr>
          <w:rFonts w:ascii="Arial" w:hAnsi="Arial" w:cs="Arial"/>
          <w:b w:val="0"/>
          <w:color w:val="000000"/>
          <w:sz w:val="16"/>
          <w:szCs w:val="16"/>
        </w:rPr>
        <w:t xml:space="preserve">(12):2167-2177. </w:t>
      </w:r>
      <w:proofErr w:type="spellStart"/>
      <w:r w:rsidRPr="00F03390">
        <w:rPr>
          <w:rFonts w:ascii="Arial" w:hAnsi="Arial" w:cs="Arial"/>
          <w:b w:val="0"/>
          <w:color w:val="000000"/>
          <w:sz w:val="16"/>
          <w:szCs w:val="16"/>
        </w:rPr>
        <w:t>doi</w:t>
      </w:r>
      <w:proofErr w:type="spellEnd"/>
      <w:r w:rsidRPr="00F03390">
        <w:rPr>
          <w:rFonts w:ascii="Arial" w:hAnsi="Arial" w:cs="Arial"/>
          <w:b w:val="0"/>
          <w:color w:val="000000"/>
          <w:sz w:val="16"/>
          <w:szCs w:val="16"/>
        </w:rPr>
        <w:t>: 10.1111/add.13886.</w:t>
      </w:r>
    </w:p>
  </w:footnote>
  <w:footnote w:id="35">
    <w:p w14:paraId="0D687327" w14:textId="128B5D45" w:rsidR="00C60810" w:rsidRPr="00AC67E9" w:rsidRDefault="00C60810" w:rsidP="00DC2E66">
      <w:pPr>
        <w:pStyle w:val="FootnoteText"/>
        <w:ind w:right="-720"/>
        <w:contextualSpacing/>
        <w:rPr>
          <w:rFonts w:ascii="Arial" w:hAnsi="Arial" w:cs="Arial"/>
          <w:sz w:val="16"/>
          <w:szCs w:val="16"/>
        </w:rPr>
      </w:pPr>
      <w:r w:rsidRPr="00AC67E9">
        <w:rPr>
          <w:rStyle w:val="FootnoteReference"/>
          <w:rFonts w:ascii="Arial" w:hAnsi="Arial" w:cs="Arial"/>
          <w:sz w:val="16"/>
          <w:szCs w:val="16"/>
        </w:rPr>
        <w:footnoteRef/>
      </w:r>
      <w:r w:rsidRPr="00F03390">
        <w:rPr>
          <w:rFonts w:ascii="Arial" w:hAnsi="Arial" w:cs="Arial"/>
          <w:sz w:val="16"/>
          <w:szCs w:val="16"/>
        </w:rPr>
        <w:t xml:space="preserve"> </w:t>
      </w:r>
      <w:r w:rsidR="008C0384" w:rsidRPr="00F03390">
        <w:rPr>
          <w:rFonts w:ascii="Arial" w:hAnsi="Arial" w:cs="Arial"/>
          <w:color w:val="333333"/>
          <w:sz w:val="16"/>
          <w:szCs w:val="16"/>
        </w:rPr>
        <w:t>van</w:t>
      </w:r>
      <w:r w:rsidRPr="00F03390">
        <w:rPr>
          <w:rStyle w:val="hlfld-contribauthor"/>
          <w:rFonts w:ascii="Arial" w:hAnsi="Arial" w:cs="Arial"/>
          <w:color w:val="333333"/>
          <w:sz w:val="16"/>
          <w:szCs w:val="16"/>
          <w:shd w:val="clear" w:color="auto" w:fill="FFFFFF"/>
        </w:rPr>
        <w:t xml:space="preserve"> der Pol, </w:t>
      </w:r>
      <w:r w:rsidRPr="00F03390">
        <w:rPr>
          <w:rStyle w:val="nlmgiven-names"/>
          <w:rFonts w:ascii="Arial" w:hAnsi="Arial" w:cs="Arial"/>
          <w:color w:val="333333"/>
          <w:sz w:val="16"/>
          <w:szCs w:val="16"/>
          <w:shd w:val="clear" w:color="auto" w:fill="FFFFFF"/>
        </w:rPr>
        <w:t>P.</w:t>
      </w:r>
      <w:r w:rsidRPr="00F03390">
        <w:rPr>
          <w:rStyle w:val="ref-overlay"/>
          <w:rFonts w:ascii="Arial" w:hAnsi="Arial" w:cs="Arial"/>
          <w:color w:val="333333"/>
          <w:sz w:val="16"/>
          <w:szCs w:val="16"/>
          <w:shd w:val="clear" w:color="auto" w:fill="FFFFFF"/>
        </w:rPr>
        <w:t>, </w:t>
      </w:r>
      <w:proofErr w:type="spellStart"/>
      <w:r w:rsidRPr="00F03390">
        <w:rPr>
          <w:rStyle w:val="hlfld-contribauthor"/>
          <w:rFonts w:ascii="Arial" w:hAnsi="Arial" w:cs="Arial"/>
          <w:color w:val="333333"/>
          <w:sz w:val="16"/>
          <w:szCs w:val="16"/>
          <w:shd w:val="clear" w:color="auto" w:fill="FFFFFF"/>
        </w:rPr>
        <w:t>Liebregts</w:t>
      </w:r>
      <w:proofErr w:type="spellEnd"/>
      <w:r w:rsidRPr="00F03390">
        <w:rPr>
          <w:rStyle w:val="hlfld-contribauthor"/>
          <w:rFonts w:ascii="Arial" w:hAnsi="Arial" w:cs="Arial"/>
          <w:color w:val="333333"/>
          <w:sz w:val="16"/>
          <w:szCs w:val="16"/>
          <w:shd w:val="clear" w:color="auto" w:fill="FFFFFF"/>
        </w:rPr>
        <w:t>, </w:t>
      </w:r>
      <w:r w:rsidRPr="00F03390">
        <w:rPr>
          <w:rStyle w:val="nlmgiven-names"/>
          <w:rFonts w:ascii="Arial" w:hAnsi="Arial" w:cs="Arial"/>
          <w:color w:val="333333"/>
          <w:sz w:val="16"/>
          <w:szCs w:val="16"/>
          <w:shd w:val="clear" w:color="auto" w:fill="FFFFFF"/>
        </w:rPr>
        <w:t>N.</w:t>
      </w:r>
      <w:r w:rsidRPr="00F03390">
        <w:rPr>
          <w:rStyle w:val="ref-overlay"/>
          <w:rFonts w:ascii="Arial" w:hAnsi="Arial" w:cs="Arial"/>
          <w:color w:val="333333"/>
          <w:sz w:val="16"/>
          <w:szCs w:val="16"/>
          <w:shd w:val="clear" w:color="auto" w:fill="FFFFFF"/>
        </w:rPr>
        <w:t>, </w:t>
      </w:r>
      <w:r w:rsidRPr="00F03390">
        <w:rPr>
          <w:rStyle w:val="hlfld-contribauthor"/>
          <w:rFonts w:ascii="Arial" w:hAnsi="Arial" w:cs="Arial"/>
          <w:color w:val="333333"/>
          <w:sz w:val="16"/>
          <w:szCs w:val="16"/>
          <w:shd w:val="clear" w:color="auto" w:fill="FFFFFF"/>
        </w:rPr>
        <w:t>Brunt, </w:t>
      </w:r>
      <w:r w:rsidRPr="00F03390">
        <w:rPr>
          <w:rStyle w:val="nlmgiven-names"/>
          <w:rFonts w:ascii="Arial" w:hAnsi="Arial" w:cs="Arial"/>
          <w:color w:val="333333"/>
          <w:sz w:val="16"/>
          <w:szCs w:val="16"/>
          <w:shd w:val="clear" w:color="auto" w:fill="FFFFFF"/>
        </w:rPr>
        <w:t>T.</w:t>
      </w:r>
      <w:r w:rsidRPr="00F03390">
        <w:rPr>
          <w:rStyle w:val="ref-overlay"/>
          <w:rFonts w:ascii="Arial" w:hAnsi="Arial" w:cs="Arial"/>
          <w:color w:val="333333"/>
          <w:sz w:val="16"/>
          <w:szCs w:val="16"/>
          <w:shd w:val="clear" w:color="auto" w:fill="FFFFFF"/>
        </w:rPr>
        <w:t>, </w:t>
      </w:r>
      <w:r w:rsidRPr="00F03390">
        <w:rPr>
          <w:rStyle w:val="hlfld-contribauthor"/>
          <w:rFonts w:ascii="Arial" w:hAnsi="Arial" w:cs="Arial"/>
          <w:color w:val="333333"/>
          <w:sz w:val="16"/>
          <w:szCs w:val="16"/>
          <w:shd w:val="clear" w:color="auto" w:fill="FFFFFF"/>
        </w:rPr>
        <w:t>van Amsterdam, </w:t>
      </w:r>
      <w:r w:rsidRPr="00F03390">
        <w:rPr>
          <w:rStyle w:val="nlmgiven-names"/>
          <w:rFonts w:ascii="Arial" w:hAnsi="Arial" w:cs="Arial"/>
          <w:color w:val="333333"/>
          <w:sz w:val="16"/>
          <w:szCs w:val="16"/>
          <w:shd w:val="clear" w:color="auto" w:fill="FFFFFF"/>
        </w:rPr>
        <w:t>J.</w:t>
      </w:r>
      <w:r w:rsidRPr="00F03390">
        <w:rPr>
          <w:rStyle w:val="ref-overlay"/>
          <w:rFonts w:ascii="Arial" w:hAnsi="Arial" w:cs="Arial"/>
          <w:color w:val="333333"/>
          <w:sz w:val="16"/>
          <w:szCs w:val="16"/>
          <w:shd w:val="clear" w:color="auto" w:fill="FFFFFF"/>
        </w:rPr>
        <w:t>, </w:t>
      </w:r>
      <w:r w:rsidRPr="00F03390">
        <w:rPr>
          <w:rStyle w:val="hlfld-contribauthor"/>
          <w:rFonts w:ascii="Arial" w:hAnsi="Arial" w:cs="Arial"/>
          <w:color w:val="333333"/>
          <w:sz w:val="16"/>
          <w:szCs w:val="16"/>
          <w:shd w:val="clear" w:color="auto" w:fill="FFFFFF"/>
        </w:rPr>
        <w:t>de Graaf, </w:t>
      </w:r>
      <w:r w:rsidRPr="00F03390">
        <w:rPr>
          <w:rStyle w:val="nlmgiven-names"/>
          <w:rFonts w:ascii="Arial" w:hAnsi="Arial" w:cs="Arial"/>
          <w:color w:val="333333"/>
          <w:sz w:val="16"/>
          <w:szCs w:val="16"/>
          <w:shd w:val="clear" w:color="auto" w:fill="FFFFFF"/>
        </w:rPr>
        <w:t>R.</w:t>
      </w:r>
      <w:r w:rsidRPr="00F03390">
        <w:rPr>
          <w:rStyle w:val="ref-overlay"/>
          <w:rFonts w:ascii="Arial" w:hAnsi="Arial" w:cs="Arial"/>
          <w:color w:val="333333"/>
          <w:sz w:val="16"/>
          <w:szCs w:val="16"/>
          <w:shd w:val="clear" w:color="auto" w:fill="FFFFFF"/>
        </w:rPr>
        <w:t>, </w:t>
      </w:r>
      <w:r w:rsidRPr="00F03390">
        <w:rPr>
          <w:rStyle w:val="hlfld-contribauthor"/>
          <w:rFonts w:ascii="Arial" w:hAnsi="Arial" w:cs="Arial"/>
          <w:color w:val="333333"/>
          <w:sz w:val="16"/>
          <w:szCs w:val="16"/>
          <w:shd w:val="clear" w:color="auto" w:fill="FFFFFF"/>
        </w:rPr>
        <w:t>Korf, </w:t>
      </w:r>
      <w:r w:rsidRPr="00F03390">
        <w:rPr>
          <w:rStyle w:val="nlmgiven-names"/>
          <w:rFonts w:ascii="Arial" w:hAnsi="Arial" w:cs="Arial"/>
          <w:color w:val="333333"/>
          <w:sz w:val="16"/>
          <w:szCs w:val="16"/>
          <w:shd w:val="clear" w:color="auto" w:fill="FFFFFF"/>
        </w:rPr>
        <w:t>D. J.</w:t>
      </w:r>
      <w:r w:rsidRPr="00F03390">
        <w:rPr>
          <w:rStyle w:val="ref-overlay"/>
          <w:rFonts w:ascii="Arial" w:hAnsi="Arial" w:cs="Arial"/>
          <w:color w:val="333333"/>
          <w:sz w:val="16"/>
          <w:szCs w:val="16"/>
          <w:shd w:val="clear" w:color="auto" w:fill="FFFFFF"/>
        </w:rPr>
        <w:t>, … </w:t>
      </w:r>
      <w:r w:rsidRPr="00F03390">
        <w:rPr>
          <w:rStyle w:val="hlfld-contribauthor"/>
          <w:rFonts w:ascii="Arial" w:hAnsi="Arial" w:cs="Arial"/>
          <w:color w:val="333333"/>
          <w:sz w:val="16"/>
          <w:szCs w:val="16"/>
          <w:shd w:val="clear" w:color="auto" w:fill="FFFFFF"/>
        </w:rPr>
        <w:t xml:space="preserve">van </w:t>
      </w:r>
      <w:proofErr w:type="spellStart"/>
      <w:r w:rsidRPr="00F03390">
        <w:rPr>
          <w:rStyle w:val="hlfld-contribauthor"/>
          <w:rFonts w:ascii="Arial" w:hAnsi="Arial" w:cs="Arial"/>
          <w:color w:val="333333"/>
          <w:sz w:val="16"/>
          <w:szCs w:val="16"/>
          <w:shd w:val="clear" w:color="auto" w:fill="FFFFFF"/>
        </w:rPr>
        <w:t>Laar</w:t>
      </w:r>
      <w:proofErr w:type="spellEnd"/>
      <w:r w:rsidRPr="00F03390">
        <w:rPr>
          <w:rStyle w:val="hlfld-contribauthor"/>
          <w:rFonts w:ascii="Arial" w:hAnsi="Arial" w:cs="Arial"/>
          <w:color w:val="333333"/>
          <w:sz w:val="16"/>
          <w:szCs w:val="16"/>
          <w:shd w:val="clear" w:color="auto" w:fill="FFFFFF"/>
        </w:rPr>
        <w:t>, </w:t>
      </w:r>
      <w:r w:rsidRPr="00F03390">
        <w:rPr>
          <w:rStyle w:val="nlmgiven-names"/>
          <w:rFonts w:ascii="Arial" w:hAnsi="Arial" w:cs="Arial"/>
          <w:color w:val="333333"/>
          <w:sz w:val="16"/>
          <w:szCs w:val="16"/>
          <w:shd w:val="clear" w:color="auto" w:fill="FFFFFF"/>
        </w:rPr>
        <w:t>M.</w:t>
      </w:r>
      <w:r w:rsidRPr="00F03390">
        <w:rPr>
          <w:rStyle w:val="ref-overlay"/>
          <w:rFonts w:ascii="Arial" w:hAnsi="Arial" w:cs="Arial"/>
          <w:color w:val="333333"/>
          <w:sz w:val="16"/>
          <w:szCs w:val="16"/>
          <w:shd w:val="clear" w:color="auto" w:fill="FFFFFF"/>
        </w:rPr>
        <w:t> (</w:t>
      </w:r>
      <w:r w:rsidRPr="00F03390">
        <w:rPr>
          <w:rStyle w:val="nlmyear"/>
          <w:rFonts w:ascii="Arial" w:hAnsi="Arial" w:cs="Arial"/>
          <w:color w:val="333333"/>
          <w:sz w:val="16"/>
          <w:szCs w:val="16"/>
          <w:shd w:val="clear" w:color="auto" w:fill="FFFFFF"/>
        </w:rPr>
        <w:t>2014</w:t>
      </w:r>
      <w:r w:rsidRPr="00F03390">
        <w:rPr>
          <w:rStyle w:val="ref-overlay"/>
          <w:rFonts w:ascii="Arial" w:hAnsi="Arial" w:cs="Arial"/>
          <w:color w:val="333333"/>
          <w:sz w:val="16"/>
          <w:szCs w:val="16"/>
          <w:shd w:val="clear" w:color="auto" w:fill="FFFFFF"/>
        </w:rPr>
        <w:t>). </w:t>
      </w:r>
      <w:r w:rsidRPr="00AC67E9">
        <w:rPr>
          <w:rStyle w:val="nlmarticle-title"/>
          <w:rFonts w:ascii="Arial" w:hAnsi="Arial" w:cs="Arial"/>
          <w:color w:val="333333"/>
          <w:sz w:val="16"/>
          <w:szCs w:val="16"/>
          <w:shd w:val="clear" w:color="auto" w:fill="FFFFFF"/>
        </w:rPr>
        <w:t xml:space="preserve">Cross-sectional and prospective relation of cannabis potency, dosing and smoking </w:t>
      </w:r>
      <w:proofErr w:type="spellStart"/>
      <w:r w:rsidRPr="00AC67E9">
        <w:rPr>
          <w:rStyle w:val="nlmarticle-title"/>
          <w:rFonts w:ascii="Arial" w:hAnsi="Arial" w:cs="Arial"/>
          <w:color w:val="333333"/>
          <w:sz w:val="16"/>
          <w:szCs w:val="16"/>
          <w:shd w:val="clear" w:color="auto" w:fill="FFFFFF"/>
        </w:rPr>
        <w:t>behaviour</w:t>
      </w:r>
      <w:proofErr w:type="spellEnd"/>
      <w:r w:rsidRPr="00AC67E9">
        <w:rPr>
          <w:rStyle w:val="nlmarticle-title"/>
          <w:rFonts w:ascii="Arial" w:hAnsi="Arial" w:cs="Arial"/>
          <w:color w:val="333333"/>
          <w:sz w:val="16"/>
          <w:szCs w:val="16"/>
          <w:shd w:val="clear" w:color="auto" w:fill="FFFFFF"/>
        </w:rPr>
        <w:t xml:space="preserve"> with cannabis dependence: an ecological study</w:t>
      </w:r>
      <w:r w:rsidRPr="00AC67E9">
        <w:rPr>
          <w:rStyle w:val="ref-overlay"/>
          <w:rFonts w:ascii="Arial" w:hAnsi="Arial" w:cs="Arial"/>
          <w:color w:val="333333"/>
          <w:sz w:val="16"/>
          <w:szCs w:val="16"/>
          <w:shd w:val="clear" w:color="auto" w:fill="FFFFFF"/>
        </w:rPr>
        <w:t xml:space="preserve">. </w:t>
      </w:r>
      <w:r w:rsidRPr="008C0384">
        <w:rPr>
          <w:rStyle w:val="ref-overlay"/>
          <w:rFonts w:ascii="Arial" w:hAnsi="Arial" w:cs="Arial"/>
          <w:i/>
          <w:color w:val="333333"/>
          <w:sz w:val="16"/>
          <w:szCs w:val="16"/>
          <w:shd w:val="clear" w:color="auto" w:fill="FFFFFF"/>
        </w:rPr>
        <w:t>Addiction</w:t>
      </w:r>
      <w:r w:rsidR="008C0384">
        <w:rPr>
          <w:rStyle w:val="ref-overlay"/>
          <w:rFonts w:ascii="Arial" w:hAnsi="Arial" w:cs="Arial"/>
          <w:i/>
          <w:color w:val="333333"/>
          <w:sz w:val="16"/>
          <w:szCs w:val="16"/>
          <w:shd w:val="clear" w:color="auto" w:fill="FFFFFF"/>
        </w:rPr>
        <w:t>.</w:t>
      </w:r>
      <w:r w:rsidRPr="008C0384">
        <w:rPr>
          <w:rStyle w:val="ref-overlay"/>
          <w:rFonts w:ascii="Arial" w:hAnsi="Arial" w:cs="Arial"/>
          <w:i/>
          <w:color w:val="333333"/>
          <w:sz w:val="16"/>
          <w:szCs w:val="16"/>
          <w:shd w:val="clear" w:color="auto" w:fill="FFFFFF"/>
        </w:rPr>
        <w:t xml:space="preserve"> 109</w:t>
      </w:r>
      <w:r w:rsidR="008C0384">
        <w:rPr>
          <w:rStyle w:val="ref-overlay"/>
          <w:rFonts w:ascii="Arial" w:hAnsi="Arial" w:cs="Arial"/>
          <w:color w:val="333333"/>
          <w:sz w:val="16"/>
          <w:szCs w:val="16"/>
          <w:shd w:val="clear" w:color="auto" w:fill="FFFFFF"/>
        </w:rPr>
        <w:t>:</w:t>
      </w:r>
      <w:r w:rsidRPr="00AC67E9">
        <w:rPr>
          <w:rStyle w:val="ref-overlay"/>
          <w:rFonts w:ascii="Arial" w:hAnsi="Arial" w:cs="Arial"/>
          <w:color w:val="333333"/>
          <w:sz w:val="16"/>
          <w:szCs w:val="16"/>
          <w:shd w:val="clear" w:color="auto" w:fill="FFFFFF"/>
        </w:rPr>
        <w:t> </w:t>
      </w:r>
      <w:r w:rsidRPr="00AC67E9">
        <w:rPr>
          <w:rStyle w:val="nlmfpage"/>
          <w:rFonts w:ascii="Arial" w:hAnsi="Arial" w:cs="Arial"/>
          <w:color w:val="333333"/>
          <w:sz w:val="16"/>
          <w:szCs w:val="16"/>
          <w:shd w:val="clear" w:color="auto" w:fill="FFFFFF"/>
        </w:rPr>
        <w:t>1101</w:t>
      </w:r>
      <w:r w:rsidRPr="00AC67E9">
        <w:rPr>
          <w:rStyle w:val="ref-overlay"/>
          <w:rFonts w:ascii="Arial" w:hAnsi="Arial" w:cs="Arial"/>
          <w:color w:val="333333"/>
          <w:sz w:val="16"/>
          <w:szCs w:val="16"/>
          <w:shd w:val="clear" w:color="auto" w:fill="FFFFFF"/>
        </w:rPr>
        <w:t>–</w:t>
      </w:r>
      <w:r w:rsidRPr="00AC67E9">
        <w:rPr>
          <w:rStyle w:val="nlmlpage"/>
          <w:rFonts w:ascii="Arial" w:hAnsi="Arial" w:cs="Arial"/>
          <w:color w:val="333333"/>
          <w:sz w:val="16"/>
          <w:szCs w:val="16"/>
          <w:shd w:val="clear" w:color="auto" w:fill="FFFFFF"/>
        </w:rPr>
        <w:t>1109</w:t>
      </w:r>
      <w:r w:rsidRPr="00AC67E9">
        <w:rPr>
          <w:rStyle w:val="ref-overlay"/>
          <w:rFonts w:ascii="Arial" w:hAnsi="Arial" w:cs="Arial"/>
          <w:color w:val="333333"/>
          <w:sz w:val="16"/>
          <w:szCs w:val="16"/>
          <w:shd w:val="clear" w:color="auto" w:fill="FFFFFF"/>
        </w:rPr>
        <w:t>. doi:</w:t>
      </w:r>
      <w:r w:rsidRPr="00AC67E9">
        <w:rPr>
          <w:rStyle w:val="ref-overlay"/>
          <w:rFonts w:ascii="Arial" w:hAnsi="Arial" w:cs="Arial"/>
          <w:color w:val="333333"/>
          <w:sz w:val="16"/>
          <w:szCs w:val="16"/>
        </w:rPr>
        <w:t>10.1111/add.12508</w:t>
      </w:r>
    </w:p>
  </w:footnote>
  <w:footnote w:id="36">
    <w:p w14:paraId="7B166021" w14:textId="3616B5E4" w:rsidR="00C60810" w:rsidRPr="00AC67E9" w:rsidRDefault="00C60810" w:rsidP="00DC2E66">
      <w:pPr>
        <w:ind w:right="-720"/>
        <w:contextualSpacing/>
        <w:rPr>
          <w:rFonts w:ascii="Arial" w:hAnsi="Arial" w:cs="Arial"/>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w:t>
      </w:r>
      <w:r w:rsidRPr="00AC67E9">
        <w:rPr>
          <w:rStyle w:val="hlfld-contribauthor"/>
          <w:rFonts w:ascii="Arial" w:hAnsi="Arial" w:cs="Arial"/>
          <w:color w:val="333333"/>
          <w:sz w:val="16"/>
          <w:szCs w:val="16"/>
        </w:rPr>
        <w:t>Chait, </w:t>
      </w:r>
      <w:r w:rsidRPr="00AC67E9">
        <w:rPr>
          <w:rStyle w:val="nlmgiven-names"/>
          <w:rFonts w:ascii="Arial" w:hAnsi="Arial" w:cs="Arial"/>
          <w:color w:val="333333"/>
          <w:sz w:val="16"/>
          <w:szCs w:val="16"/>
        </w:rPr>
        <w:t>L. D.</w:t>
      </w:r>
      <w:r w:rsidRPr="00AC67E9">
        <w:rPr>
          <w:rFonts w:ascii="Arial" w:hAnsi="Arial" w:cs="Arial"/>
          <w:color w:val="333333"/>
          <w:sz w:val="16"/>
          <w:szCs w:val="16"/>
        </w:rPr>
        <w:t> (</w:t>
      </w:r>
      <w:r w:rsidRPr="00AC67E9">
        <w:rPr>
          <w:rStyle w:val="nlmyear"/>
          <w:rFonts w:ascii="Arial" w:hAnsi="Arial" w:cs="Arial"/>
          <w:color w:val="333333"/>
          <w:sz w:val="16"/>
          <w:szCs w:val="16"/>
        </w:rPr>
        <w:t>1989</w:t>
      </w:r>
      <w:r w:rsidRPr="00AC67E9">
        <w:rPr>
          <w:rFonts w:ascii="Arial" w:hAnsi="Arial" w:cs="Arial"/>
          <w:color w:val="333333"/>
          <w:sz w:val="16"/>
          <w:szCs w:val="16"/>
        </w:rPr>
        <w:t>). </w:t>
      </w:r>
      <w:r w:rsidRPr="00AC67E9">
        <w:rPr>
          <w:rStyle w:val="nlmarticle-title"/>
          <w:rFonts w:ascii="Arial" w:hAnsi="Arial" w:cs="Arial"/>
          <w:color w:val="333333"/>
          <w:sz w:val="16"/>
          <w:szCs w:val="16"/>
        </w:rPr>
        <w:t>Delta-9-tetrahydrocannabinol content and human marijuana self-administration</w:t>
      </w:r>
      <w:r w:rsidRPr="00AC67E9">
        <w:rPr>
          <w:rFonts w:ascii="Arial" w:hAnsi="Arial" w:cs="Arial"/>
          <w:color w:val="333333"/>
          <w:sz w:val="16"/>
          <w:szCs w:val="16"/>
        </w:rPr>
        <w:t xml:space="preserve">. </w:t>
      </w:r>
      <w:r w:rsidRPr="008C0384">
        <w:rPr>
          <w:rFonts w:ascii="Arial" w:hAnsi="Arial" w:cs="Arial"/>
          <w:i/>
          <w:color w:val="333333"/>
          <w:sz w:val="16"/>
          <w:szCs w:val="16"/>
        </w:rPr>
        <w:t>Psychopharmacology (</w:t>
      </w:r>
      <w:proofErr w:type="spellStart"/>
      <w:r w:rsidRPr="008C0384">
        <w:rPr>
          <w:rFonts w:ascii="Arial" w:hAnsi="Arial" w:cs="Arial"/>
          <w:i/>
          <w:color w:val="333333"/>
          <w:sz w:val="16"/>
          <w:szCs w:val="16"/>
        </w:rPr>
        <w:t>Berl</w:t>
      </w:r>
      <w:proofErr w:type="spellEnd"/>
      <w:r w:rsidRPr="008C0384">
        <w:rPr>
          <w:rFonts w:ascii="Arial" w:hAnsi="Arial" w:cs="Arial"/>
          <w:i/>
          <w:color w:val="333333"/>
          <w:sz w:val="16"/>
          <w:szCs w:val="16"/>
        </w:rPr>
        <w:t>)</w:t>
      </w:r>
      <w:r w:rsidR="008C0384">
        <w:rPr>
          <w:rFonts w:ascii="Arial" w:hAnsi="Arial" w:cs="Arial"/>
          <w:i/>
          <w:color w:val="333333"/>
          <w:sz w:val="16"/>
          <w:szCs w:val="16"/>
        </w:rPr>
        <w:t>.</w:t>
      </w:r>
      <w:r w:rsidRPr="008C0384">
        <w:rPr>
          <w:rFonts w:ascii="Arial" w:hAnsi="Arial" w:cs="Arial"/>
          <w:i/>
          <w:color w:val="333333"/>
          <w:sz w:val="16"/>
          <w:szCs w:val="16"/>
        </w:rPr>
        <w:t xml:space="preserve"> 98</w:t>
      </w:r>
      <w:r w:rsidR="008C0384">
        <w:rPr>
          <w:rFonts w:ascii="Arial" w:hAnsi="Arial" w:cs="Arial"/>
          <w:color w:val="333333"/>
          <w:sz w:val="16"/>
          <w:szCs w:val="16"/>
        </w:rPr>
        <w:t>:</w:t>
      </w:r>
      <w:r w:rsidRPr="00AC67E9">
        <w:rPr>
          <w:rFonts w:ascii="Arial" w:hAnsi="Arial" w:cs="Arial"/>
          <w:color w:val="333333"/>
          <w:sz w:val="16"/>
          <w:szCs w:val="16"/>
        </w:rPr>
        <w:t> </w:t>
      </w:r>
      <w:r w:rsidRPr="00AC67E9">
        <w:rPr>
          <w:rStyle w:val="nlmfpage"/>
          <w:rFonts w:ascii="Arial" w:hAnsi="Arial" w:cs="Arial"/>
          <w:color w:val="333333"/>
          <w:sz w:val="16"/>
          <w:szCs w:val="16"/>
        </w:rPr>
        <w:t>51</w:t>
      </w:r>
      <w:r w:rsidRPr="00AC67E9">
        <w:rPr>
          <w:rFonts w:ascii="Arial" w:hAnsi="Arial" w:cs="Arial"/>
          <w:color w:val="333333"/>
          <w:sz w:val="16"/>
          <w:szCs w:val="16"/>
        </w:rPr>
        <w:t>–</w:t>
      </w:r>
      <w:r w:rsidRPr="00AC67E9">
        <w:rPr>
          <w:rStyle w:val="nlmlpage"/>
          <w:rFonts w:ascii="Arial" w:hAnsi="Arial" w:cs="Arial"/>
          <w:color w:val="333333"/>
          <w:sz w:val="16"/>
          <w:szCs w:val="16"/>
        </w:rPr>
        <w:t>55</w:t>
      </w:r>
      <w:r w:rsidRPr="00AC67E9">
        <w:rPr>
          <w:rFonts w:ascii="Arial" w:hAnsi="Arial" w:cs="Arial"/>
          <w:color w:val="333333"/>
          <w:sz w:val="16"/>
          <w:szCs w:val="16"/>
        </w:rPr>
        <w:t>. Retrieved from </w:t>
      </w:r>
      <w:r w:rsidRPr="00AC67E9">
        <w:rPr>
          <w:rFonts w:ascii="Arial" w:hAnsi="Arial" w:cs="Arial"/>
          <w:sz w:val="16"/>
          <w:szCs w:val="16"/>
        </w:rPr>
        <w:t>https://www-ncbi-nlm-nih-gov.ucsf.idm.oclc.org/pubmed/2543018</w:t>
      </w:r>
      <w:hyperlink r:id="rId2" w:tgtFrame="_blank" w:history="1">
        <w:r w:rsidRPr="00AC67E9">
          <w:rPr>
            <w:rStyle w:val="Hyperlink"/>
            <w:rFonts w:ascii="Arial" w:hAnsi="Arial" w:cs="Arial"/>
            <w:color w:val="006DB4"/>
            <w:sz w:val="16"/>
            <w:szCs w:val="16"/>
            <w:u w:val="none"/>
          </w:rPr>
          <w:t>10</w:t>
        </w:r>
      </w:hyperlink>
    </w:p>
  </w:footnote>
  <w:footnote w:id="37">
    <w:p w14:paraId="2472BE56" w14:textId="04AA5E9A" w:rsidR="00C60810" w:rsidRPr="00AC67E9" w:rsidRDefault="00C60810" w:rsidP="00DC2E66">
      <w:pPr>
        <w:pStyle w:val="FootnoteText"/>
        <w:ind w:right="-720"/>
        <w:contextualSpacing/>
        <w:rPr>
          <w:rFonts w:ascii="Arial" w:hAnsi="Arial" w:cs="Arial"/>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w:t>
      </w:r>
      <w:r w:rsidRPr="00AC67E9">
        <w:rPr>
          <w:rStyle w:val="hlfld-contribauthor"/>
          <w:rFonts w:ascii="Arial" w:hAnsi="Arial" w:cs="Arial"/>
          <w:color w:val="333333"/>
          <w:sz w:val="16"/>
          <w:szCs w:val="16"/>
          <w:shd w:val="clear" w:color="auto" w:fill="FFFFFF"/>
        </w:rPr>
        <w:t>Freeman, </w:t>
      </w:r>
      <w:r w:rsidRPr="00AC67E9">
        <w:rPr>
          <w:rStyle w:val="nlmgiven-names"/>
          <w:rFonts w:ascii="Arial" w:hAnsi="Arial" w:cs="Arial"/>
          <w:color w:val="333333"/>
          <w:sz w:val="16"/>
          <w:szCs w:val="16"/>
          <w:shd w:val="clear" w:color="auto" w:fill="FFFFFF"/>
        </w:rPr>
        <w:t>T. P.</w:t>
      </w:r>
      <w:r w:rsidRPr="00AC67E9">
        <w:rPr>
          <w:rStyle w:val="ref-overlay"/>
          <w:rFonts w:ascii="Arial" w:hAnsi="Arial" w:cs="Arial"/>
          <w:color w:val="333333"/>
          <w:sz w:val="16"/>
          <w:szCs w:val="16"/>
          <w:shd w:val="clear" w:color="auto" w:fill="FFFFFF"/>
        </w:rPr>
        <w:t>, &amp; </w:t>
      </w:r>
      <w:proofErr w:type="spellStart"/>
      <w:r w:rsidRPr="00AC67E9">
        <w:rPr>
          <w:rStyle w:val="hlfld-contribauthor"/>
          <w:rFonts w:ascii="Arial" w:hAnsi="Arial" w:cs="Arial"/>
          <w:color w:val="333333"/>
          <w:sz w:val="16"/>
          <w:szCs w:val="16"/>
          <w:shd w:val="clear" w:color="auto" w:fill="FFFFFF"/>
        </w:rPr>
        <w:t>Winstock</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A. R.</w:t>
      </w:r>
      <w:r w:rsidRPr="00AC67E9">
        <w:rPr>
          <w:rStyle w:val="ref-overlay"/>
          <w:rFonts w:ascii="Arial" w:hAnsi="Arial" w:cs="Arial"/>
          <w:color w:val="333333"/>
          <w:sz w:val="16"/>
          <w:szCs w:val="16"/>
          <w:shd w:val="clear" w:color="auto" w:fill="FFFFFF"/>
        </w:rPr>
        <w:t> (</w:t>
      </w:r>
      <w:r w:rsidRPr="00AC67E9">
        <w:rPr>
          <w:rStyle w:val="nlmyear"/>
          <w:rFonts w:ascii="Arial" w:hAnsi="Arial" w:cs="Arial"/>
          <w:color w:val="333333"/>
          <w:sz w:val="16"/>
          <w:szCs w:val="16"/>
          <w:shd w:val="clear" w:color="auto" w:fill="FFFFFF"/>
        </w:rPr>
        <w:t>2015</w:t>
      </w:r>
      <w:r w:rsidRPr="00AC67E9">
        <w:rPr>
          <w:rStyle w:val="ref-overlay"/>
          <w:rFonts w:ascii="Arial" w:hAnsi="Arial" w:cs="Arial"/>
          <w:color w:val="333333"/>
          <w:sz w:val="16"/>
          <w:szCs w:val="16"/>
          <w:shd w:val="clear" w:color="auto" w:fill="FFFFFF"/>
        </w:rPr>
        <w:t>). </w:t>
      </w:r>
      <w:r w:rsidRPr="00AC67E9">
        <w:rPr>
          <w:rStyle w:val="nlmarticle-title"/>
          <w:rFonts w:ascii="Arial" w:hAnsi="Arial" w:cs="Arial"/>
          <w:color w:val="333333"/>
          <w:sz w:val="16"/>
          <w:szCs w:val="16"/>
          <w:shd w:val="clear" w:color="auto" w:fill="FFFFFF"/>
        </w:rPr>
        <w:t>Examining the profile of high-potency cannabis and its association with severity of cannabis dependence</w:t>
      </w:r>
      <w:r w:rsidRPr="00AC67E9">
        <w:rPr>
          <w:rStyle w:val="ref-overlay"/>
          <w:rFonts w:ascii="Arial" w:hAnsi="Arial" w:cs="Arial"/>
          <w:color w:val="333333"/>
          <w:sz w:val="16"/>
          <w:szCs w:val="16"/>
          <w:shd w:val="clear" w:color="auto" w:fill="FFFFFF"/>
        </w:rPr>
        <w:t xml:space="preserve">. </w:t>
      </w:r>
      <w:r w:rsidR="008C0384">
        <w:rPr>
          <w:rStyle w:val="ref-overlay"/>
          <w:rFonts w:ascii="Arial" w:hAnsi="Arial" w:cs="Arial"/>
          <w:i/>
          <w:color w:val="333333"/>
          <w:sz w:val="16"/>
          <w:szCs w:val="16"/>
          <w:shd w:val="clear" w:color="auto" w:fill="FFFFFF"/>
        </w:rPr>
        <w:t>Psychological Medicine.</w:t>
      </w:r>
      <w:r w:rsidRPr="008C0384">
        <w:rPr>
          <w:rStyle w:val="ref-overlay"/>
          <w:rFonts w:ascii="Arial" w:hAnsi="Arial" w:cs="Arial"/>
          <w:i/>
          <w:color w:val="333333"/>
          <w:sz w:val="16"/>
          <w:szCs w:val="16"/>
          <w:shd w:val="clear" w:color="auto" w:fill="FFFFFF"/>
        </w:rPr>
        <w:t xml:space="preserve"> 45</w:t>
      </w:r>
      <w:r w:rsidR="008C0384">
        <w:rPr>
          <w:rStyle w:val="ref-overlay"/>
          <w:rFonts w:ascii="Arial" w:hAnsi="Arial" w:cs="Arial"/>
          <w:i/>
          <w:color w:val="333333"/>
          <w:sz w:val="16"/>
          <w:szCs w:val="16"/>
          <w:shd w:val="clear" w:color="auto" w:fill="FFFFFF"/>
        </w:rPr>
        <w:t>:3</w:t>
      </w:r>
      <w:r w:rsidRPr="00AC67E9">
        <w:rPr>
          <w:rStyle w:val="nlmfpage"/>
          <w:rFonts w:ascii="Arial" w:hAnsi="Arial" w:cs="Arial"/>
          <w:color w:val="333333"/>
          <w:sz w:val="16"/>
          <w:szCs w:val="16"/>
          <w:shd w:val="clear" w:color="auto" w:fill="FFFFFF"/>
        </w:rPr>
        <w:t>181</w:t>
      </w:r>
      <w:r w:rsidRPr="00AC67E9">
        <w:rPr>
          <w:rStyle w:val="ref-overlay"/>
          <w:rFonts w:ascii="Arial" w:hAnsi="Arial" w:cs="Arial"/>
          <w:color w:val="333333"/>
          <w:sz w:val="16"/>
          <w:szCs w:val="16"/>
          <w:shd w:val="clear" w:color="auto" w:fill="FFFFFF"/>
        </w:rPr>
        <w:t>–</w:t>
      </w:r>
      <w:r w:rsidRPr="00AC67E9">
        <w:rPr>
          <w:rStyle w:val="nlmlpage"/>
          <w:rFonts w:ascii="Arial" w:hAnsi="Arial" w:cs="Arial"/>
          <w:color w:val="333333"/>
          <w:sz w:val="16"/>
          <w:szCs w:val="16"/>
          <w:shd w:val="clear" w:color="auto" w:fill="FFFFFF"/>
        </w:rPr>
        <w:t>3189</w:t>
      </w:r>
      <w:r w:rsidRPr="00AC67E9">
        <w:rPr>
          <w:rStyle w:val="ref-overlay"/>
          <w:rFonts w:ascii="Arial" w:hAnsi="Arial" w:cs="Arial"/>
          <w:color w:val="333333"/>
          <w:sz w:val="16"/>
          <w:szCs w:val="16"/>
          <w:shd w:val="clear" w:color="auto" w:fill="FFFFFF"/>
        </w:rPr>
        <w:t>. doi:</w:t>
      </w:r>
      <w:r w:rsidRPr="00AC67E9">
        <w:rPr>
          <w:rStyle w:val="ref-overlay"/>
          <w:rFonts w:ascii="Arial" w:hAnsi="Arial" w:cs="Arial"/>
          <w:color w:val="333333"/>
          <w:sz w:val="16"/>
          <w:szCs w:val="16"/>
        </w:rPr>
        <w:t>10.1017/S0033291715001178</w:t>
      </w:r>
    </w:p>
  </w:footnote>
  <w:footnote w:id="38">
    <w:p w14:paraId="60FCB5E4" w14:textId="07151B83" w:rsidR="00C60810" w:rsidRPr="00AC67E9" w:rsidRDefault="00C60810" w:rsidP="00DC2E66">
      <w:pPr>
        <w:pStyle w:val="FootnoteText"/>
        <w:ind w:right="-720"/>
        <w:contextualSpacing/>
        <w:rPr>
          <w:rFonts w:ascii="Arial" w:hAnsi="Arial" w:cs="Arial"/>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w:t>
      </w:r>
      <w:r w:rsidR="008C0384">
        <w:rPr>
          <w:rStyle w:val="ref-lnk"/>
          <w:rFonts w:ascii="Arial" w:hAnsi="Arial" w:cs="Arial"/>
          <w:color w:val="333333"/>
          <w:sz w:val="16"/>
          <w:szCs w:val="16"/>
        </w:rPr>
        <w:t>v</w:t>
      </w:r>
      <w:r w:rsidRPr="00AC67E9">
        <w:rPr>
          <w:rStyle w:val="ref-lnk"/>
          <w:rFonts w:ascii="Arial" w:hAnsi="Arial" w:cs="Arial"/>
          <w:color w:val="333333"/>
          <w:sz w:val="16"/>
          <w:szCs w:val="16"/>
        </w:rPr>
        <w:t>an der Pol, ibid</w:t>
      </w:r>
    </w:p>
  </w:footnote>
  <w:footnote w:id="39">
    <w:p w14:paraId="59DAE510" w14:textId="5495CBE2" w:rsidR="00C60810" w:rsidRPr="00AC67E9" w:rsidRDefault="00C60810" w:rsidP="00DC2E66">
      <w:pPr>
        <w:pStyle w:val="FootnoteText"/>
        <w:ind w:right="-720"/>
        <w:contextualSpacing/>
        <w:rPr>
          <w:rFonts w:ascii="Arial" w:hAnsi="Arial" w:cs="Arial"/>
          <w:b/>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w:t>
      </w:r>
      <w:r w:rsidRPr="00AC67E9">
        <w:rPr>
          <w:rStyle w:val="hlfld-contribauthor"/>
          <w:rFonts w:ascii="Arial" w:hAnsi="Arial" w:cs="Arial"/>
          <w:color w:val="333333"/>
          <w:sz w:val="16"/>
          <w:szCs w:val="16"/>
          <w:shd w:val="clear" w:color="auto" w:fill="FFFFFF"/>
        </w:rPr>
        <w:t>Di Forti, </w:t>
      </w:r>
      <w:r w:rsidRPr="00AC67E9">
        <w:rPr>
          <w:rStyle w:val="nlmgiven-names"/>
          <w:rFonts w:ascii="Arial" w:hAnsi="Arial" w:cs="Arial"/>
          <w:color w:val="333333"/>
          <w:sz w:val="16"/>
          <w:szCs w:val="16"/>
          <w:shd w:val="clear" w:color="auto" w:fill="FFFFFF"/>
        </w:rPr>
        <w:t>M.</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Marconi, </w:t>
      </w:r>
      <w:r w:rsidRPr="00AC67E9">
        <w:rPr>
          <w:rStyle w:val="nlmgiven-names"/>
          <w:rFonts w:ascii="Arial" w:hAnsi="Arial" w:cs="Arial"/>
          <w:color w:val="333333"/>
          <w:sz w:val="16"/>
          <w:szCs w:val="16"/>
          <w:shd w:val="clear" w:color="auto" w:fill="FFFFFF"/>
        </w:rPr>
        <w:t>A.</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Carra, </w:t>
      </w:r>
      <w:r w:rsidRPr="00AC67E9">
        <w:rPr>
          <w:rStyle w:val="nlmgiven-names"/>
          <w:rFonts w:ascii="Arial" w:hAnsi="Arial" w:cs="Arial"/>
          <w:color w:val="333333"/>
          <w:sz w:val="16"/>
          <w:szCs w:val="16"/>
          <w:shd w:val="clear" w:color="auto" w:fill="FFFFFF"/>
        </w:rPr>
        <w:t>E.</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Fraietta, </w:t>
      </w:r>
      <w:r w:rsidRPr="00AC67E9">
        <w:rPr>
          <w:rStyle w:val="nlmgiven-names"/>
          <w:rFonts w:ascii="Arial" w:hAnsi="Arial" w:cs="Arial"/>
          <w:color w:val="333333"/>
          <w:sz w:val="16"/>
          <w:szCs w:val="16"/>
          <w:shd w:val="clear" w:color="auto" w:fill="FFFFFF"/>
        </w:rPr>
        <w:t>S.</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Trotta, </w:t>
      </w:r>
      <w:r w:rsidRPr="00AC67E9">
        <w:rPr>
          <w:rStyle w:val="nlmgiven-names"/>
          <w:rFonts w:ascii="Arial" w:hAnsi="Arial" w:cs="Arial"/>
          <w:color w:val="333333"/>
          <w:sz w:val="16"/>
          <w:szCs w:val="16"/>
          <w:shd w:val="clear" w:color="auto" w:fill="FFFFFF"/>
        </w:rPr>
        <w:t>A.</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Bonomo, </w:t>
      </w:r>
      <w:r w:rsidRPr="00AC67E9">
        <w:rPr>
          <w:rStyle w:val="nlmgiven-names"/>
          <w:rFonts w:ascii="Arial" w:hAnsi="Arial" w:cs="Arial"/>
          <w:color w:val="333333"/>
          <w:sz w:val="16"/>
          <w:szCs w:val="16"/>
          <w:shd w:val="clear" w:color="auto" w:fill="FFFFFF"/>
        </w:rPr>
        <w:t>M.</w:t>
      </w:r>
      <w:r w:rsidRPr="00AC67E9">
        <w:rPr>
          <w:rStyle w:val="ref-overlay"/>
          <w:rFonts w:ascii="Arial" w:hAnsi="Arial" w:cs="Arial"/>
          <w:color w:val="333333"/>
          <w:sz w:val="16"/>
          <w:szCs w:val="16"/>
          <w:shd w:val="clear" w:color="auto" w:fill="FFFFFF"/>
        </w:rPr>
        <w:t>, … </w:t>
      </w:r>
      <w:r w:rsidRPr="00AC67E9">
        <w:rPr>
          <w:rStyle w:val="hlfld-contribauthor"/>
          <w:rFonts w:ascii="Arial" w:hAnsi="Arial" w:cs="Arial"/>
          <w:color w:val="333333"/>
          <w:sz w:val="16"/>
          <w:szCs w:val="16"/>
          <w:shd w:val="clear" w:color="auto" w:fill="FFFFFF"/>
        </w:rPr>
        <w:t>Murray, </w:t>
      </w:r>
      <w:r w:rsidRPr="00AC67E9">
        <w:rPr>
          <w:rStyle w:val="nlmgiven-names"/>
          <w:rFonts w:ascii="Arial" w:hAnsi="Arial" w:cs="Arial"/>
          <w:color w:val="333333"/>
          <w:sz w:val="16"/>
          <w:szCs w:val="16"/>
          <w:shd w:val="clear" w:color="auto" w:fill="FFFFFF"/>
        </w:rPr>
        <w:t>R. M.</w:t>
      </w:r>
      <w:r w:rsidRPr="00AC67E9">
        <w:rPr>
          <w:rStyle w:val="ref-overlay"/>
          <w:rFonts w:ascii="Arial" w:hAnsi="Arial" w:cs="Arial"/>
          <w:color w:val="333333"/>
          <w:sz w:val="16"/>
          <w:szCs w:val="16"/>
          <w:shd w:val="clear" w:color="auto" w:fill="FFFFFF"/>
        </w:rPr>
        <w:t> (</w:t>
      </w:r>
      <w:r w:rsidRPr="00AC67E9">
        <w:rPr>
          <w:rStyle w:val="nlmyear"/>
          <w:rFonts w:ascii="Arial" w:hAnsi="Arial" w:cs="Arial"/>
          <w:color w:val="333333"/>
          <w:sz w:val="16"/>
          <w:szCs w:val="16"/>
          <w:shd w:val="clear" w:color="auto" w:fill="FFFFFF"/>
        </w:rPr>
        <w:t>2015</w:t>
      </w:r>
      <w:r w:rsidRPr="00AC67E9">
        <w:rPr>
          <w:rStyle w:val="ref-overlay"/>
          <w:rFonts w:ascii="Arial" w:hAnsi="Arial" w:cs="Arial"/>
          <w:color w:val="333333"/>
          <w:sz w:val="16"/>
          <w:szCs w:val="16"/>
          <w:shd w:val="clear" w:color="auto" w:fill="FFFFFF"/>
        </w:rPr>
        <w:t>). </w:t>
      </w:r>
      <w:r w:rsidRPr="00AC67E9">
        <w:rPr>
          <w:rStyle w:val="nlmarticle-title"/>
          <w:rFonts w:ascii="Arial" w:hAnsi="Arial" w:cs="Arial"/>
          <w:color w:val="333333"/>
          <w:sz w:val="16"/>
          <w:szCs w:val="16"/>
          <w:shd w:val="clear" w:color="auto" w:fill="FFFFFF"/>
        </w:rPr>
        <w:t>Proportion of patients in south London with first-episode psychosis attributable to use of high potency cannabis: a case-control study</w:t>
      </w:r>
      <w:r w:rsidRPr="00AC67E9">
        <w:rPr>
          <w:rStyle w:val="ref-overlay"/>
          <w:rFonts w:ascii="Arial" w:hAnsi="Arial" w:cs="Arial"/>
          <w:color w:val="333333"/>
          <w:sz w:val="16"/>
          <w:szCs w:val="16"/>
          <w:shd w:val="clear" w:color="auto" w:fill="FFFFFF"/>
        </w:rPr>
        <w:t xml:space="preserve">. </w:t>
      </w:r>
      <w:r w:rsidR="008C0384">
        <w:rPr>
          <w:rStyle w:val="ref-overlay"/>
          <w:rFonts w:ascii="Arial" w:hAnsi="Arial" w:cs="Arial"/>
          <w:i/>
          <w:color w:val="333333"/>
          <w:sz w:val="16"/>
          <w:szCs w:val="16"/>
          <w:shd w:val="clear" w:color="auto" w:fill="FFFFFF"/>
        </w:rPr>
        <w:t>The Lancet Psychiatry.</w:t>
      </w:r>
      <w:r w:rsidRPr="008C0384">
        <w:rPr>
          <w:rStyle w:val="ref-overlay"/>
          <w:rFonts w:ascii="Arial" w:hAnsi="Arial" w:cs="Arial"/>
          <w:color w:val="333333"/>
          <w:sz w:val="16"/>
          <w:szCs w:val="16"/>
          <w:shd w:val="clear" w:color="auto" w:fill="FFFFFF"/>
        </w:rPr>
        <w:t xml:space="preserve"> 2</w:t>
      </w:r>
      <w:r w:rsidR="008C0384">
        <w:rPr>
          <w:rStyle w:val="ref-overlay"/>
          <w:rFonts w:ascii="Arial" w:hAnsi="Arial" w:cs="Arial"/>
          <w:color w:val="333333"/>
          <w:sz w:val="16"/>
          <w:szCs w:val="16"/>
          <w:shd w:val="clear" w:color="auto" w:fill="FFFFFF"/>
        </w:rPr>
        <w:t>:</w:t>
      </w:r>
      <w:r w:rsidRPr="00AC67E9">
        <w:rPr>
          <w:rStyle w:val="nlmfpage"/>
          <w:rFonts w:ascii="Arial" w:hAnsi="Arial" w:cs="Arial"/>
          <w:color w:val="333333"/>
          <w:sz w:val="16"/>
          <w:szCs w:val="16"/>
          <w:shd w:val="clear" w:color="auto" w:fill="FFFFFF"/>
        </w:rPr>
        <w:t>233</w:t>
      </w:r>
      <w:r w:rsidRPr="00AC67E9">
        <w:rPr>
          <w:rStyle w:val="ref-overlay"/>
          <w:rFonts w:ascii="Arial" w:hAnsi="Arial" w:cs="Arial"/>
          <w:color w:val="333333"/>
          <w:sz w:val="16"/>
          <w:szCs w:val="16"/>
          <w:shd w:val="clear" w:color="auto" w:fill="FFFFFF"/>
        </w:rPr>
        <w:t>–</w:t>
      </w:r>
      <w:r w:rsidRPr="00AC67E9">
        <w:rPr>
          <w:rStyle w:val="nlmlpage"/>
          <w:rFonts w:ascii="Arial" w:hAnsi="Arial" w:cs="Arial"/>
          <w:color w:val="333333"/>
          <w:sz w:val="16"/>
          <w:szCs w:val="16"/>
          <w:shd w:val="clear" w:color="auto" w:fill="FFFFFF"/>
        </w:rPr>
        <w:t>238</w:t>
      </w:r>
      <w:r w:rsidRPr="00AC67E9">
        <w:rPr>
          <w:rStyle w:val="ref-overlay"/>
          <w:rFonts w:ascii="Arial" w:hAnsi="Arial" w:cs="Arial"/>
          <w:color w:val="333333"/>
          <w:sz w:val="16"/>
          <w:szCs w:val="16"/>
          <w:shd w:val="clear" w:color="auto" w:fill="FFFFFF"/>
        </w:rPr>
        <w:t>. doi:</w:t>
      </w:r>
      <w:r w:rsidRPr="00AC67E9">
        <w:rPr>
          <w:rStyle w:val="ref-overlay"/>
          <w:rFonts w:ascii="Arial" w:hAnsi="Arial" w:cs="Arial"/>
          <w:color w:val="333333"/>
          <w:sz w:val="16"/>
          <w:szCs w:val="16"/>
        </w:rPr>
        <w:t>10.1016/s2215-0366(14)00117-5</w:t>
      </w:r>
    </w:p>
  </w:footnote>
  <w:footnote w:id="40">
    <w:p w14:paraId="3D926C9B" w14:textId="24817152" w:rsidR="00C60810" w:rsidRPr="00AC67E9" w:rsidRDefault="00C60810" w:rsidP="00DC2E66">
      <w:pPr>
        <w:pStyle w:val="FootnoteText"/>
        <w:ind w:right="-720"/>
        <w:contextualSpacing/>
        <w:rPr>
          <w:rFonts w:ascii="Arial" w:hAnsi="Arial" w:cs="Arial"/>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w:t>
      </w:r>
      <w:r w:rsidRPr="00AC67E9">
        <w:rPr>
          <w:rStyle w:val="hlfld-contribauthor"/>
          <w:rFonts w:ascii="Arial" w:hAnsi="Arial" w:cs="Arial"/>
          <w:color w:val="333333"/>
          <w:sz w:val="16"/>
          <w:szCs w:val="16"/>
          <w:shd w:val="clear" w:color="auto" w:fill="FFFFFF"/>
        </w:rPr>
        <w:t>Large, </w:t>
      </w:r>
      <w:r w:rsidRPr="00AC67E9">
        <w:rPr>
          <w:rStyle w:val="nlmgiven-names"/>
          <w:rFonts w:ascii="Arial" w:hAnsi="Arial" w:cs="Arial"/>
          <w:color w:val="333333"/>
          <w:sz w:val="16"/>
          <w:szCs w:val="16"/>
          <w:shd w:val="clear" w:color="auto" w:fill="FFFFFF"/>
        </w:rPr>
        <w:t>M.</w:t>
      </w:r>
      <w:r w:rsidRPr="00AC67E9">
        <w:rPr>
          <w:rStyle w:val="ref-overlay"/>
          <w:rFonts w:ascii="Arial" w:hAnsi="Arial" w:cs="Arial"/>
          <w:color w:val="333333"/>
          <w:sz w:val="16"/>
          <w:szCs w:val="16"/>
          <w:shd w:val="clear" w:color="auto" w:fill="FFFFFF"/>
        </w:rPr>
        <w:t>, &amp; </w:t>
      </w:r>
      <w:proofErr w:type="spellStart"/>
      <w:r w:rsidRPr="00AC67E9">
        <w:rPr>
          <w:rStyle w:val="hlfld-contribauthor"/>
          <w:rFonts w:ascii="Arial" w:hAnsi="Arial" w:cs="Arial"/>
          <w:color w:val="333333"/>
          <w:sz w:val="16"/>
          <w:szCs w:val="16"/>
          <w:shd w:val="clear" w:color="auto" w:fill="FFFFFF"/>
        </w:rPr>
        <w:t>Nielssen</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O.</w:t>
      </w:r>
      <w:r w:rsidRPr="00AC67E9">
        <w:rPr>
          <w:rStyle w:val="ref-overlay"/>
          <w:rFonts w:ascii="Arial" w:hAnsi="Arial" w:cs="Arial"/>
          <w:color w:val="333333"/>
          <w:sz w:val="16"/>
          <w:szCs w:val="16"/>
          <w:shd w:val="clear" w:color="auto" w:fill="FFFFFF"/>
        </w:rPr>
        <w:t> (</w:t>
      </w:r>
      <w:r w:rsidRPr="00AC67E9">
        <w:rPr>
          <w:rStyle w:val="nlmyear"/>
          <w:rFonts w:ascii="Arial" w:hAnsi="Arial" w:cs="Arial"/>
          <w:color w:val="333333"/>
          <w:sz w:val="16"/>
          <w:szCs w:val="16"/>
          <w:shd w:val="clear" w:color="auto" w:fill="FFFFFF"/>
        </w:rPr>
        <w:t>2017</w:t>
      </w:r>
      <w:r w:rsidRPr="00AC67E9">
        <w:rPr>
          <w:rStyle w:val="ref-overlay"/>
          <w:rFonts w:ascii="Arial" w:hAnsi="Arial" w:cs="Arial"/>
          <w:color w:val="333333"/>
          <w:sz w:val="16"/>
          <w:szCs w:val="16"/>
          <w:shd w:val="clear" w:color="auto" w:fill="FFFFFF"/>
        </w:rPr>
        <w:t>). </w:t>
      </w:r>
      <w:r w:rsidRPr="00AC67E9">
        <w:rPr>
          <w:rStyle w:val="nlmarticle-title"/>
          <w:rFonts w:ascii="Arial" w:hAnsi="Arial" w:cs="Arial"/>
          <w:color w:val="333333"/>
          <w:sz w:val="16"/>
          <w:szCs w:val="16"/>
          <w:shd w:val="clear" w:color="auto" w:fill="FFFFFF"/>
        </w:rPr>
        <w:t>Daily use of high-potency cannabis is associated with an increased risk of admission and more intervention after first-episode psychosis</w:t>
      </w:r>
      <w:r w:rsidRPr="00AC67E9">
        <w:rPr>
          <w:rStyle w:val="ref-overlay"/>
          <w:rFonts w:ascii="Arial" w:hAnsi="Arial" w:cs="Arial"/>
          <w:color w:val="333333"/>
          <w:sz w:val="16"/>
          <w:szCs w:val="16"/>
          <w:shd w:val="clear" w:color="auto" w:fill="FFFFFF"/>
        </w:rPr>
        <w:t xml:space="preserve">. </w:t>
      </w:r>
      <w:r w:rsidRPr="008C0384">
        <w:rPr>
          <w:rStyle w:val="ref-overlay"/>
          <w:rFonts w:ascii="Arial" w:hAnsi="Arial" w:cs="Arial"/>
          <w:i/>
          <w:color w:val="333333"/>
          <w:sz w:val="16"/>
          <w:szCs w:val="16"/>
          <w:shd w:val="clear" w:color="auto" w:fill="FFFFFF"/>
        </w:rPr>
        <w:t>Evidence-Based Mental Health</w:t>
      </w:r>
      <w:r w:rsidR="008C0384">
        <w:rPr>
          <w:rStyle w:val="ref-overlay"/>
          <w:rFonts w:ascii="Arial" w:hAnsi="Arial" w:cs="Arial"/>
          <w:i/>
          <w:color w:val="333333"/>
          <w:sz w:val="16"/>
          <w:szCs w:val="16"/>
          <w:shd w:val="clear" w:color="auto" w:fill="FFFFFF"/>
        </w:rPr>
        <w:t>.</w:t>
      </w:r>
      <w:r w:rsidRPr="008C0384">
        <w:rPr>
          <w:rStyle w:val="ref-overlay"/>
          <w:rFonts w:ascii="Arial" w:hAnsi="Arial" w:cs="Arial"/>
          <w:i/>
          <w:color w:val="333333"/>
          <w:sz w:val="16"/>
          <w:szCs w:val="16"/>
          <w:shd w:val="clear" w:color="auto" w:fill="FFFFFF"/>
        </w:rPr>
        <w:t xml:space="preserve"> 20</w:t>
      </w:r>
      <w:r w:rsidR="008C0384">
        <w:rPr>
          <w:rStyle w:val="ref-overlay"/>
          <w:rFonts w:ascii="Arial" w:hAnsi="Arial" w:cs="Arial"/>
          <w:color w:val="333333"/>
          <w:sz w:val="16"/>
          <w:szCs w:val="16"/>
          <w:shd w:val="clear" w:color="auto" w:fill="FFFFFF"/>
        </w:rPr>
        <w:t>:</w:t>
      </w:r>
      <w:r w:rsidRPr="00AC67E9">
        <w:rPr>
          <w:rStyle w:val="nlmfpage"/>
          <w:rFonts w:ascii="Arial" w:hAnsi="Arial" w:cs="Arial"/>
          <w:color w:val="333333"/>
          <w:sz w:val="16"/>
          <w:szCs w:val="16"/>
          <w:shd w:val="clear" w:color="auto" w:fill="FFFFFF"/>
        </w:rPr>
        <w:t>58</w:t>
      </w:r>
      <w:r w:rsidRPr="00AC67E9">
        <w:rPr>
          <w:rStyle w:val="ref-overlay"/>
          <w:rFonts w:ascii="Arial" w:hAnsi="Arial" w:cs="Arial"/>
          <w:color w:val="333333"/>
          <w:sz w:val="16"/>
          <w:szCs w:val="16"/>
          <w:shd w:val="clear" w:color="auto" w:fill="FFFFFF"/>
        </w:rPr>
        <w:t>. doi:</w:t>
      </w:r>
      <w:r w:rsidRPr="00AC67E9">
        <w:rPr>
          <w:rStyle w:val="nlmpub-id"/>
          <w:rFonts w:ascii="Arial" w:hAnsi="Arial" w:cs="Arial"/>
          <w:color w:val="333333"/>
          <w:sz w:val="16"/>
          <w:szCs w:val="16"/>
          <w:shd w:val="clear" w:color="auto" w:fill="FFFFFF"/>
        </w:rPr>
        <w:t>10.1136/eb-2017-102630</w:t>
      </w:r>
    </w:p>
  </w:footnote>
  <w:footnote w:id="41">
    <w:p w14:paraId="355D4F53" w14:textId="4E7CEA00" w:rsidR="00C60810" w:rsidRPr="00AC67E9" w:rsidRDefault="00C60810" w:rsidP="00DC2E66">
      <w:pPr>
        <w:pStyle w:val="FootnoteText"/>
        <w:ind w:right="-720"/>
        <w:rPr>
          <w:rFonts w:ascii="Arial" w:hAnsi="Arial" w:cs="Arial"/>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w:t>
      </w:r>
      <w:r w:rsidRPr="00AC67E9">
        <w:rPr>
          <w:rStyle w:val="hlfld-contribauthor"/>
          <w:rFonts w:ascii="Arial" w:hAnsi="Arial" w:cs="Arial"/>
          <w:color w:val="333333"/>
          <w:sz w:val="16"/>
          <w:szCs w:val="16"/>
          <w:shd w:val="clear" w:color="auto" w:fill="FFFFFF"/>
        </w:rPr>
        <w:t>D'Souza, </w:t>
      </w:r>
      <w:r w:rsidRPr="00AC67E9">
        <w:rPr>
          <w:rStyle w:val="nlmgiven-names"/>
          <w:rFonts w:ascii="Arial" w:hAnsi="Arial" w:cs="Arial"/>
          <w:color w:val="333333"/>
          <w:sz w:val="16"/>
          <w:szCs w:val="16"/>
          <w:shd w:val="clear" w:color="auto" w:fill="FFFFFF"/>
        </w:rPr>
        <w:t>D.C.</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Perry, </w:t>
      </w:r>
      <w:r w:rsidRPr="00AC67E9">
        <w:rPr>
          <w:rStyle w:val="nlmgiven-names"/>
          <w:rFonts w:ascii="Arial" w:hAnsi="Arial" w:cs="Arial"/>
          <w:color w:val="333333"/>
          <w:sz w:val="16"/>
          <w:szCs w:val="16"/>
          <w:shd w:val="clear" w:color="auto" w:fill="FFFFFF"/>
        </w:rPr>
        <w:t>E.</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MacDougall, </w:t>
      </w:r>
      <w:r w:rsidRPr="00AC67E9">
        <w:rPr>
          <w:rStyle w:val="nlmgiven-names"/>
          <w:rFonts w:ascii="Arial" w:hAnsi="Arial" w:cs="Arial"/>
          <w:color w:val="333333"/>
          <w:sz w:val="16"/>
          <w:szCs w:val="16"/>
          <w:shd w:val="clear" w:color="auto" w:fill="FFFFFF"/>
        </w:rPr>
        <w:t>L.</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Ammerman, </w:t>
      </w:r>
      <w:r w:rsidRPr="00AC67E9">
        <w:rPr>
          <w:rStyle w:val="nlmgiven-names"/>
          <w:rFonts w:ascii="Arial" w:hAnsi="Arial" w:cs="Arial"/>
          <w:color w:val="333333"/>
          <w:sz w:val="16"/>
          <w:szCs w:val="16"/>
          <w:shd w:val="clear" w:color="auto" w:fill="FFFFFF"/>
        </w:rPr>
        <w:t>Y.</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Cooper, </w:t>
      </w:r>
      <w:r w:rsidRPr="00AC67E9">
        <w:rPr>
          <w:rStyle w:val="nlmgiven-names"/>
          <w:rFonts w:ascii="Arial" w:hAnsi="Arial" w:cs="Arial"/>
          <w:color w:val="333333"/>
          <w:sz w:val="16"/>
          <w:szCs w:val="16"/>
          <w:shd w:val="clear" w:color="auto" w:fill="FFFFFF"/>
        </w:rPr>
        <w:t>T.</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Wu, </w:t>
      </w:r>
      <w:r w:rsidRPr="00AC67E9">
        <w:rPr>
          <w:rStyle w:val="nlmgiven-names"/>
          <w:rFonts w:ascii="Arial" w:hAnsi="Arial" w:cs="Arial"/>
          <w:color w:val="333333"/>
          <w:sz w:val="16"/>
          <w:szCs w:val="16"/>
          <w:shd w:val="clear" w:color="auto" w:fill="FFFFFF"/>
        </w:rPr>
        <w:t>Y. T.</w:t>
      </w:r>
      <w:r w:rsidRPr="00AC67E9">
        <w:rPr>
          <w:rStyle w:val="ref-overlay"/>
          <w:rFonts w:ascii="Arial" w:hAnsi="Arial" w:cs="Arial"/>
          <w:color w:val="333333"/>
          <w:sz w:val="16"/>
          <w:szCs w:val="16"/>
          <w:shd w:val="clear" w:color="auto" w:fill="FFFFFF"/>
        </w:rPr>
        <w:t>, … </w:t>
      </w:r>
      <w:r w:rsidRPr="00AC67E9">
        <w:rPr>
          <w:rStyle w:val="hlfld-contribauthor"/>
          <w:rFonts w:ascii="Arial" w:hAnsi="Arial" w:cs="Arial"/>
          <w:color w:val="333333"/>
          <w:sz w:val="16"/>
          <w:szCs w:val="16"/>
          <w:shd w:val="clear" w:color="auto" w:fill="FFFFFF"/>
        </w:rPr>
        <w:t>Krystal, </w:t>
      </w:r>
      <w:r w:rsidRPr="00AC67E9">
        <w:rPr>
          <w:rStyle w:val="nlmgiven-names"/>
          <w:rFonts w:ascii="Arial" w:hAnsi="Arial" w:cs="Arial"/>
          <w:color w:val="333333"/>
          <w:sz w:val="16"/>
          <w:szCs w:val="16"/>
          <w:shd w:val="clear" w:color="auto" w:fill="FFFFFF"/>
        </w:rPr>
        <w:t>J. H.</w:t>
      </w:r>
      <w:r w:rsidRPr="00AC67E9">
        <w:rPr>
          <w:rStyle w:val="ref-overlay"/>
          <w:rFonts w:ascii="Arial" w:hAnsi="Arial" w:cs="Arial"/>
          <w:color w:val="333333"/>
          <w:sz w:val="16"/>
          <w:szCs w:val="16"/>
          <w:shd w:val="clear" w:color="auto" w:fill="FFFFFF"/>
        </w:rPr>
        <w:t> (</w:t>
      </w:r>
      <w:r w:rsidRPr="00AC67E9">
        <w:rPr>
          <w:rStyle w:val="nlmyear"/>
          <w:rFonts w:ascii="Arial" w:hAnsi="Arial" w:cs="Arial"/>
          <w:color w:val="333333"/>
          <w:sz w:val="16"/>
          <w:szCs w:val="16"/>
          <w:shd w:val="clear" w:color="auto" w:fill="FFFFFF"/>
        </w:rPr>
        <w:t>2004</w:t>
      </w:r>
      <w:r w:rsidRPr="00AC67E9">
        <w:rPr>
          <w:rStyle w:val="ref-overlay"/>
          <w:rFonts w:ascii="Arial" w:hAnsi="Arial" w:cs="Arial"/>
          <w:color w:val="333333"/>
          <w:sz w:val="16"/>
          <w:szCs w:val="16"/>
          <w:shd w:val="clear" w:color="auto" w:fill="FFFFFF"/>
        </w:rPr>
        <w:t>). </w:t>
      </w:r>
      <w:r w:rsidRPr="00AC67E9">
        <w:rPr>
          <w:rStyle w:val="nlmarticle-title"/>
          <w:rFonts w:ascii="Arial" w:hAnsi="Arial" w:cs="Arial"/>
          <w:color w:val="333333"/>
          <w:sz w:val="16"/>
          <w:szCs w:val="16"/>
          <w:shd w:val="clear" w:color="auto" w:fill="FFFFFF"/>
        </w:rPr>
        <w:t>The psychotomimetic effects of intravenous delta-9-tetrahydrocannabinol in healthy individuals: implications for psychosis</w:t>
      </w:r>
      <w:r w:rsidRPr="00AC67E9">
        <w:rPr>
          <w:rStyle w:val="ref-overlay"/>
          <w:rFonts w:ascii="Arial" w:hAnsi="Arial" w:cs="Arial"/>
          <w:color w:val="333333"/>
          <w:sz w:val="16"/>
          <w:szCs w:val="16"/>
          <w:shd w:val="clear" w:color="auto" w:fill="FFFFFF"/>
        </w:rPr>
        <w:t xml:space="preserve">. </w:t>
      </w:r>
      <w:r w:rsidRPr="008C0384">
        <w:rPr>
          <w:rStyle w:val="ref-overlay"/>
          <w:rFonts w:ascii="Arial" w:hAnsi="Arial" w:cs="Arial"/>
          <w:i/>
          <w:color w:val="333333"/>
          <w:sz w:val="16"/>
          <w:szCs w:val="16"/>
          <w:shd w:val="clear" w:color="auto" w:fill="FFFFFF"/>
        </w:rPr>
        <w:t>Neuropsychopharmacology</w:t>
      </w:r>
      <w:r w:rsidR="008C0384">
        <w:rPr>
          <w:rStyle w:val="ref-overlay"/>
          <w:rFonts w:ascii="Arial" w:hAnsi="Arial" w:cs="Arial"/>
          <w:i/>
          <w:color w:val="333333"/>
          <w:sz w:val="16"/>
          <w:szCs w:val="16"/>
          <w:shd w:val="clear" w:color="auto" w:fill="FFFFFF"/>
        </w:rPr>
        <w:t>.</w:t>
      </w:r>
      <w:r w:rsidRPr="008C0384">
        <w:rPr>
          <w:rStyle w:val="ref-overlay"/>
          <w:rFonts w:ascii="Arial" w:hAnsi="Arial" w:cs="Arial"/>
          <w:i/>
          <w:color w:val="333333"/>
          <w:sz w:val="16"/>
          <w:szCs w:val="16"/>
          <w:shd w:val="clear" w:color="auto" w:fill="FFFFFF"/>
        </w:rPr>
        <w:t xml:space="preserve"> 29</w:t>
      </w:r>
      <w:r w:rsidR="008C0384">
        <w:rPr>
          <w:rStyle w:val="ref-overlay"/>
          <w:rFonts w:ascii="Arial" w:hAnsi="Arial" w:cs="Arial"/>
          <w:color w:val="333333"/>
          <w:sz w:val="16"/>
          <w:szCs w:val="16"/>
          <w:shd w:val="clear" w:color="auto" w:fill="FFFFFF"/>
        </w:rPr>
        <w:t>:</w:t>
      </w:r>
      <w:r w:rsidRPr="00AC67E9">
        <w:rPr>
          <w:rStyle w:val="nlmfpage"/>
          <w:rFonts w:ascii="Arial" w:eastAsiaTheme="minorEastAsia" w:hAnsi="Arial" w:cs="Arial"/>
          <w:color w:val="333333"/>
          <w:sz w:val="16"/>
          <w:szCs w:val="16"/>
          <w:shd w:val="clear" w:color="auto" w:fill="FFFFFF"/>
        </w:rPr>
        <w:t>1558</w:t>
      </w:r>
      <w:r w:rsidRPr="00AC67E9">
        <w:rPr>
          <w:rStyle w:val="ref-overlay"/>
          <w:rFonts w:ascii="Arial" w:hAnsi="Arial" w:cs="Arial"/>
          <w:color w:val="333333"/>
          <w:sz w:val="16"/>
          <w:szCs w:val="16"/>
          <w:shd w:val="clear" w:color="auto" w:fill="FFFFFF"/>
        </w:rPr>
        <w:t>–</w:t>
      </w:r>
      <w:r w:rsidRPr="00AC67E9">
        <w:rPr>
          <w:rStyle w:val="nlmlpage"/>
          <w:rFonts w:ascii="Arial" w:hAnsi="Arial" w:cs="Arial"/>
          <w:color w:val="333333"/>
          <w:sz w:val="16"/>
          <w:szCs w:val="16"/>
          <w:shd w:val="clear" w:color="auto" w:fill="FFFFFF"/>
        </w:rPr>
        <w:t>1572</w:t>
      </w:r>
      <w:r w:rsidRPr="00AC67E9">
        <w:rPr>
          <w:rStyle w:val="ref-overlay"/>
          <w:rFonts w:ascii="Arial" w:hAnsi="Arial" w:cs="Arial"/>
          <w:color w:val="333333"/>
          <w:sz w:val="16"/>
          <w:szCs w:val="16"/>
          <w:shd w:val="clear" w:color="auto" w:fill="FFFFFF"/>
        </w:rPr>
        <w:t xml:space="preserve">. </w:t>
      </w:r>
      <w:proofErr w:type="gramStart"/>
      <w:r w:rsidRPr="00AC67E9">
        <w:rPr>
          <w:rStyle w:val="ref-overlay"/>
          <w:rFonts w:ascii="Arial" w:hAnsi="Arial" w:cs="Arial"/>
          <w:color w:val="333333"/>
          <w:sz w:val="16"/>
          <w:szCs w:val="16"/>
          <w:shd w:val="clear" w:color="auto" w:fill="FFFFFF"/>
        </w:rPr>
        <w:t>doi:</w:t>
      </w:r>
      <w:r w:rsidRPr="00AC67E9">
        <w:rPr>
          <w:rStyle w:val="ref-overlay"/>
          <w:rFonts w:ascii="Arial" w:hAnsi="Arial" w:cs="Arial"/>
          <w:color w:val="333333"/>
          <w:sz w:val="16"/>
          <w:szCs w:val="16"/>
        </w:rPr>
        <w:t>10.1038/sj.npp</w:t>
      </w:r>
      <w:proofErr w:type="gramEnd"/>
      <w:r w:rsidRPr="00AC67E9">
        <w:rPr>
          <w:rStyle w:val="ref-overlay"/>
          <w:rFonts w:ascii="Arial" w:hAnsi="Arial" w:cs="Arial"/>
          <w:color w:val="333333"/>
          <w:sz w:val="16"/>
          <w:szCs w:val="16"/>
        </w:rPr>
        <w:t>.1300496</w:t>
      </w:r>
    </w:p>
  </w:footnote>
  <w:footnote w:id="42">
    <w:p w14:paraId="57B8F4E6" w14:textId="3E33AABB" w:rsidR="00C60810" w:rsidRPr="00AC67E9" w:rsidRDefault="00C60810" w:rsidP="00DC2E66">
      <w:pPr>
        <w:pStyle w:val="FootnoteText"/>
        <w:ind w:right="-720"/>
        <w:rPr>
          <w:rFonts w:ascii="Arial" w:hAnsi="Arial" w:cs="Arial"/>
          <w:sz w:val="16"/>
          <w:szCs w:val="16"/>
        </w:rPr>
      </w:pPr>
      <w:r w:rsidRPr="00AC67E9">
        <w:rPr>
          <w:rStyle w:val="FootnoteReference"/>
          <w:rFonts w:ascii="Arial" w:hAnsi="Arial" w:cs="Arial"/>
          <w:sz w:val="16"/>
          <w:szCs w:val="16"/>
        </w:rPr>
        <w:footnoteRef/>
      </w:r>
      <w:r w:rsidRPr="00AC67E9">
        <w:rPr>
          <w:rFonts w:ascii="Arial" w:hAnsi="Arial" w:cs="Arial"/>
          <w:sz w:val="16"/>
          <w:szCs w:val="16"/>
        </w:rPr>
        <w:t xml:space="preserve"> </w:t>
      </w:r>
      <w:r w:rsidRPr="00AC67E9">
        <w:rPr>
          <w:rStyle w:val="hlfld-contribauthor"/>
          <w:rFonts w:ascii="Arial" w:hAnsi="Arial" w:cs="Arial"/>
          <w:color w:val="333333"/>
          <w:sz w:val="16"/>
          <w:szCs w:val="16"/>
          <w:shd w:val="clear" w:color="auto" w:fill="FFFFFF"/>
        </w:rPr>
        <w:t>Kowal, </w:t>
      </w:r>
      <w:r w:rsidRPr="00AC67E9">
        <w:rPr>
          <w:rStyle w:val="nlmgiven-names"/>
          <w:rFonts w:ascii="Arial" w:hAnsi="Arial" w:cs="Arial"/>
          <w:color w:val="333333"/>
          <w:sz w:val="16"/>
          <w:szCs w:val="16"/>
          <w:shd w:val="clear" w:color="auto" w:fill="FFFFFF"/>
        </w:rPr>
        <w:t>M. A.</w:t>
      </w:r>
      <w:r w:rsidRPr="00AC67E9">
        <w:rPr>
          <w:rStyle w:val="ref-overlay"/>
          <w:rFonts w:ascii="Arial" w:hAnsi="Arial" w:cs="Arial"/>
          <w:color w:val="333333"/>
          <w:sz w:val="16"/>
          <w:szCs w:val="16"/>
          <w:shd w:val="clear" w:color="auto" w:fill="FFFFFF"/>
        </w:rPr>
        <w:t>, </w:t>
      </w:r>
      <w:proofErr w:type="spellStart"/>
      <w:r w:rsidRPr="00AC67E9">
        <w:rPr>
          <w:rStyle w:val="hlfld-contribauthor"/>
          <w:rFonts w:ascii="Arial" w:hAnsi="Arial" w:cs="Arial"/>
          <w:color w:val="333333"/>
          <w:sz w:val="16"/>
          <w:szCs w:val="16"/>
          <w:shd w:val="clear" w:color="auto" w:fill="FFFFFF"/>
        </w:rPr>
        <w:t>Hazekamp</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A.</w:t>
      </w:r>
      <w:r w:rsidRPr="00AC67E9">
        <w:rPr>
          <w:rStyle w:val="ref-overlay"/>
          <w:rFonts w:ascii="Arial" w:hAnsi="Arial" w:cs="Arial"/>
          <w:color w:val="333333"/>
          <w:sz w:val="16"/>
          <w:szCs w:val="16"/>
          <w:shd w:val="clear" w:color="auto" w:fill="FFFFFF"/>
        </w:rPr>
        <w:t>, </w:t>
      </w:r>
      <w:proofErr w:type="spellStart"/>
      <w:r w:rsidRPr="00AC67E9">
        <w:rPr>
          <w:rStyle w:val="hlfld-contribauthor"/>
          <w:rFonts w:ascii="Arial" w:hAnsi="Arial" w:cs="Arial"/>
          <w:color w:val="333333"/>
          <w:sz w:val="16"/>
          <w:szCs w:val="16"/>
          <w:shd w:val="clear" w:color="auto" w:fill="FFFFFF"/>
        </w:rPr>
        <w:t>Colzato</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L. S.</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 xml:space="preserve">van </w:t>
      </w:r>
      <w:proofErr w:type="spellStart"/>
      <w:r w:rsidRPr="00AC67E9">
        <w:rPr>
          <w:rStyle w:val="hlfld-contribauthor"/>
          <w:rFonts w:ascii="Arial" w:hAnsi="Arial" w:cs="Arial"/>
          <w:color w:val="333333"/>
          <w:sz w:val="16"/>
          <w:szCs w:val="16"/>
          <w:shd w:val="clear" w:color="auto" w:fill="FFFFFF"/>
        </w:rPr>
        <w:t>Steenbergen</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H.</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van der Wee, </w:t>
      </w:r>
      <w:r w:rsidRPr="00AC67E9">
        <w:rPr>
          <w:rStyle w:val="nlmgiven-names"/>
          <w:rFonts w:ascii="Arial" w:hAnsi="Arial" w:cs="Arial"/>
          <w:color w:val="333333"/>
          <w:sz w:val="16"/>
          <w:szCs w:val="16"/>
          <w:shd w:val="clear" w:color="auto" w:fill="FFFFFF"/>
        </w:rPr>
        <w:t>N. J.</w:t>
      </w:r>
      <w:r w:rsidRPr="00AC67E9">
        <w:rPr>
          <w:rStyle w:val="ref-overlay"/>
          <w:rFonts w:ascii="Arial" w:hAnsi="Arial" w:cs="Arial"/>
          <w:color w:val="333333"/>
          <w:sz w:val="16"/>
          <w:szCs w:val="16"/>
          <w:shd w:val="clear" w:color="auto" w:fill="FFFFFF"/>
        </w:rPr>
        <w:t>, </w:t>
      </w:r>
      <w:proofErr w:type="spellStart"/>
      <w:r w:rsidRPr="00AC67E9">
        <w:rPr>
          <w:rStyle w:val="hlfld-contribauthor"/>
          <w:rFonts w:ascii="Arial" w:hAnsi="Arial" w:cs="Arial"/>
          <w:color w:val="333333"/>
          <w:sz w:val="16"/>
          <w:szCs w:val="16"/>
          <w:shd w:val="clear" w:color="auto" w:fill="FFFFFF"/>
        </w:rPr>
        <w:t>Durieux</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J.</w:t>
      </w:r>
      <w:r w:rsidRPr="00AC67E9">
        <w:rPr>
          <w:rStyle w:val="ref-overlay"/>
          <w:rFonts w:ascii="Arial" w:hAnsi="Arial" w:cs="Arial"/>
          <w:color w:val="333333"/>
          <w:sz w:val="16"/>
          <w:szCs w:val="16"/>
          <w:shd w:val="clear" w:color="auto" w:fill="FFFFFF"/>
        </w:rPr>
        <w:t>, … </w:t>
      </w:r>
      <w:proofErr w:type="spellStart"/>
      <w:r w:rsidRPr="00AC67E9">
        <w:rPr>
          <w:rStyle w:val="hlfld-contribauthor"/>
          <w:rFonts w:ascii="Arial" w:hAnsi="Arial" w:cs="Arial"/>
          <w:color w:val="333333"/>
          <w:sz w:val="16"/>
          <w:szCs w:val="16"/>
          <w:shd w:val="clear" w:color="auto" w:fill="FFFFFF"/>
        </w:rPr>
        <w:t>Hommel</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B.</w:t>
      </w:r>
      <w:r w:rsidRPr="00AC67E9">
        <w:rPr>
          <w:rStyle w:val="ref-overlay"/>
          <w:rFonts w:ascii="Arial" w:hAnsi="Arial" w:cs="Arial"/>
          <w:color w:val="333333"/>
          <w:sz w:val="16"/>
          <w:szCs w:val="16"/>
          <w:shd w:val="clear" w:color="auto" w:fill="FFFFFF"/>
        </w:rPr>
        <w:t> (</w:t>
      </w:r>
      <w:r w:rsidRPr="00AC67E9">
        <w:rPr>
          <w:rStyle w:val="nlmyear"/>
          <w:rFonts w:ascii="Arial" w:hAnsi="Arial" w:cs="Arial"/>
          <w:color w:val="333333"/>
          <w:sz w:val="16"/>
          <w:szCs w:val="16"/>
          <w:shd w:val="clear" w:color="auto" w:fill="FFFFFF"/>
        </w:rPr>
        <w:t>2015</w:t>
      </w:r>
      <w:r w:rsidRPr="00AC67E9">
        <w:rPr>
          <w:rStyle w:val="ref-overlay"/>
          <w:rFonts w:ascii="Arial" w:hAnsi="Arial" w:cs="Arial"/>
          <w:color w:val="333333"/>
          <w:sz w:val="16"/>
          <w:szCs w:val="16"/>
          <w:shd w:val="clear" w:color="auto" w:fill="FFFFFF"/>
        </w:rPr>
        <w:t>). </w:t>
      </w:r>
      <w:r w:rsidRPr="00AC67E9">
        <w:rPr>
          <w:rStyle w:val="nlmarticle-title"/>
          <w:rFonts w:ascii="Arial" w:hAnsi="Arial" w:cs="Arial"/>
          <w:color w:val="333333"/>
          <w:sz w:val="16"/>
          <w:szCs w:val="16"/>
          <w:shd w:val="clear" w:color="auto" w:fill="FFFFFF"/>
        </w:rPr>
        <w:t>Cannabis and creativity: highly potent cannabis impairs divergent thinking in regular cannabis users</w:t>
      </w:r>
      <w:r w:rsidRPr="00AC67E9">
        <w:rPr>
          <w:rStyle w:val="ref-overlay"/>
          <w:rFonts w:ascii="Arial" w:hAnsi="Arial" w:cs="Arial"/>
          <w:color w:val="333333"/>
          <w:sz w:val="16"/>
          <w:szCs w:val="16"/>
          <w:shd w:val="clear" w:color="auto" w:fill="FFFFFF"/>
        </w:rPr>
        <w:t xml:space="preserve">. </w:t>
      </w:r>
      <w:r w:rsidR="008C0384">
        <w:rPr>
          <w:rStyle w:val="ref-overlay"/>
          <w:rFonts w:ascii="Arial" w:hAnsi="Arial" w:cs="Arial"/>
          <w:i/>
          <w:color w:val="333333"/>
          <w:sz w:val="16"/>
          <w:szCs w:val="16"/>
          <w:shd w:val="clear" w:color="auto" w:fill="FFFFFF"/>
        </w:rPr>
        <w:t>Psychopharmacology (</w:t>
      </w:r>
      <w:proofErr w:type="spellStart"/>
      <w:r w:rsidR="008C0384">
        <w:rPr>
          <w:rStyle w:val="ref-overlay"/>
          <w:rFonts w:ascii="Arial" w:hAnsi="Arial" w:cs="Arial"/>
          <w:i/>
          <w:color w:val="333333"/>
          <w:sz w:val="16"/>
          <w:szCs w:val="16"/>
          <w:shd w:val="clear" w:color="auto" w:fill="FFFFFF"/>
        </w:rPr>
        <w:t>Berl</w:t>
      </w:r>
      <w:proofErr w:type="spellEnd"/>
      <w:r w:rsidR="008C0384">
        <w:rPr>
          <w:rStyle w:val="ref-overlay"/>
          <w:rFonts w:ascii="Arial" w:hAnsi="Arial" w:cs="Arial"/>
          <w:i/>
          <w:color w:val="333333"/>
          <w:sz w:val="16"/>
          <w:szCs w:val="16"/>
          <w:shd w:val="clear" w:color="auto" w:fill="FFFFFF"/>
        </w:rPr>
        <w:t>).</w:t>
      </w:r>
      <w:r w:rsidRPr="008C0384">
        <w:rPr>
          <w:rStyle w:val="ref-overlay"/>
          <w:rFonts w:ascii="Arial" w:hAnsi="Arial" w:cs="Arial"/>
          <w:i/>
          <w:color w:val="333333"/>
          <w:sz w:val="16"/>
          <w:szCs w:val="16"/>
          <w:shd w:val="clear" w:color="auto" w:fill="FFFFFF"/>
        </w:rPr>
        <w:t xml:space="preserve"> 232</w:t>
      </w:r>
      <w:r w:rsidR="008C0384">
        <w:rPr>
          <w:rStyle w:val="ref-overlay"/>
          <w:rFonts w:ascii="Arial" w:hAnsi="Arial" w:cs="Arial"/>
          <w:color w:val="333333"/>
          <w:sz w:val="16"/>
          <w:szCs w:val="16"/>
          <w:shd w:val="clear" w:color="auto" w:fill="FFFFFF"/>
        </w:rPr>
        <w:t>:</w:t>
      </w:r>
      <w:r w:rsidRPr="00AC67E9">
        <w:rPr>
          <w:rStyle w:val="nlmfpage"/>
          <w:rFonts w:ascii="Arial" w:eastAsiaTheme="minorEastAsia" w:hAnsi="Arial" w:cs="Arial"/>
          <w:color w:val="333333"/>
          <w:sz w:val="16"/>
          <w:szCs w:val="16"/>
          <w:shd w:val="clear" w:color="auto" w:fill="FFFFFF"/>
        </w:rPr>
        <w:t>1123</w:t>
      </w:r>
      <w:r w:rsidRPr="00AC67E9">
        <w:rPr>
          <w:rStyle w:val="ref-overlay"/>
          <w:rFonts w:ascii="Arial" w:hAnsi="Arial" w:cs="Arial"/>
          <w:color w:val="333333"/>
          <w:sz w:val="16"/>
          <w:szCs w:val="16"/>
          <w:shd w:val="clear" w:color="auto" w:fill="FFFFFF"/>
        </w:rPr>
        <w:t>–</w:t>
      </w:r>
      <w:r w:rsidRPr="00AC67E9">
        <w:rPr>
          <w:rStyle w:val="nlmlpage"/>
          <w:rFonts w:ascii="Arial" w:hAnsi="Arial" w:cs="Arial"/>
          <w:color w:val="333333"/>
          <w:sz w:val="16"/>
          <w:szCs w:val="16"/>
          <w:shd w:val="clear" w:color="auto" w:fill="FFFFFF"/>
        </w:rPr>
        <w:t>1134</w:t>
      </w:r>
      <w:r w:rsidRPr="00AC67E9">
        <w:rPr>
          <w:rStyle w:val="ref-overlay"/>
          <w:rFonts w:ascii="Arial" w:hAnsi="Arial" w:cs="Arial"/>
          <w:color w:val="333333"/>
          <w:sz w:val="16"/>
          <w:szCs w:val="16"/>
          <w:shd w:val="clear" w:color="auto" w:fill="FFFFFF"/>
        </w:rPr>
        <w:t>. doi:</w:t>
      </w:r>
      <w:r w:rsidRPr="00AC67E9">
        <w:rPr>
          <w:rStyle w:val="nlmpub-id"/>
          <w:rFonts w:ascii="Arial" w:hAnsi="Arial" w:cs="Arial"/>
          <w:color w:val="333333"/>
          <w:sz w:val="16"/>
          <w:szCs w:val="16"/>
          <w:shd w:val="clear" w:color="auto" w:fill="FFFFFF"/>
        </w:rPr>
        <w:t>10.1007/s00213-014-3749-1</w:t>
      </w:r>
    </w:p>
  </w:footnote>
  <w:footnote w:id="43">
    <w:p w14:paraId="6D97FBE9" w14:textId="116E6F9D" w:rsidR="00C60810" w:rsidRPr="00AC67E9" w:rsidRDefault="00C60810" w:rsidP="00DC2E66">
      <w:pPr>
        <w:pStyle w:val="FootnoteText"/>
        <w:ind w:right="-720"/>
        <w:rPr>
          <w:rFonts w:ascii="Arial" w:hAnsi="Arial" w:cs="Arial"/>
          <w:sz w:val="16"/>
          <w:szCs w:val="16"/>
          <w:lang w:val="fr-FR"/>
        </w:rPr>
      </w:pPr>
      <w:r w:rsidRPr="00AC67E9">
        <w:rPr>
          <w:rStyle w:val="FootnoteReference"/>
          <w:rFonts w:ascii="Arial" w:hAnsi="Arial" w:cs="Arial"/>
          <w:sz w:val="16"/>
          <w:szCs w:val="16"/>
        </w:rPr>
        <w:footnoteRef/>
      </w:r>
      <w:r w:rsidRPr="00AC67E9">
        <w:rPr>
          <w:rFonts w:ascii="Arial" w:hAnsi="Arial" w:cs="Arial"/>
          <w:sz w:val="16"/>
          <w:szCs w:val="16"/>
        </w:rPr>
        <w:t xml:space="preserve"> </w:t>
      </w:r>
      <w:proofErr w:type="spellStart"/>
      <w:r w:rsidRPr="00AC67E9">
        <w:rPr>
          <w:rStyle w:val="hlfld-contribauthor"/>
          <w:rFonts w:ascii="Arial" w:hAnsi="Arial" w:cs="Arial"/>
          <w:color w:val="333333"/>
          <w:sz w:val="16"/>
          <w:szCs w:val="16"/>
          <w:shd w:val="clear" w:color="auto" w:fill="FFFFFF"/>
        </w:rPr>
        <w:t>Ramaekers</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J. G.</w:t>
      </w:r>
      <w:r w:rsidRPr="00AC67E9">
        <w:rPr>
          <w:rStyle w:val="ref-overlay"/>
          <w:rFonts w:ascii="Arial" w:hAnsi="Arial" w:cs="Arial"/>
          <w:color w:val="333333"/>
          <w:sz w:val="16"/>
          <w:szCs w:val="16"/>
          <w:shd w:val="clear" w:color="auto" w:fill="FFFFFF"/>
        </w:rPr>
        <w:t>, </w:t>
      </w:r>
      <w:proofErr w:type="spellStart"/>
      <w:r w:rsidRPr="00AC67E9">
        <w:rPr>
          <w:rStyle w:val="hlfld-contribauthor"/>
          <w:rFonts w:ascii="Arial" w:hAnsi="Arial" w:cs="Arial"/>
          <w:color w:val="333333"/>
          <w:sz w:val="16"/>
          <w:szCs w:val="16"/>
          <w:shd w:val="clear" w:color="auto" w:fill="FFFFFF"/>
        </w:rPr>
        <w:t>Kauert</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G.</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 xml:space="preserve">van </w:t>
      </w:r>
      <w:proofErr w:type="spellStart"/>
      <w:r w:rsidRPr="00AC67E9">
        <w:rPr>
          <w:rStyle w:val="hlfld-contribauthor"/>
          <w:rFonts w:ascii="Arial" w:hAnsi="Arial" w:cs="Arial"/>
          <w:color w:val="333333"/>
          <w:sz w:val="16"/>
          <w:szCs w:val="16"/>
          <w:shd w:val="clear" w:color="auto" w:fill="FFFFFF"/>
        </w:rPr>
        <w:t>Ruitenbeek</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P.</w:t>
      </w:r>
      <w:r w:rsidRPr="00AC67E9">
        <w:rPr>
          <w:rStyle w:val="ref-overlay"/>
          <w:rFonts w:ascii="Arial" w:hAnsi="Arial" w:cs="Arial"/>
          <w:color w:val="333333"/>
          <w:sz w:val="16"/>
          <w:szCs w:val="16"/>
          <w:shd w:val="clear" w:color="auto" w:fill="FFFFFF"/>
        </w:rPr>
        <w:t>, </w:t>
      </w:r>
      <w:proofErr w:type="spellStart"/>
      <w:r w:rsidRPr="00AC67E9">
        <w:rPr>
          <w:rStyle w:val="hlfld-contribauthor"/>
          <w:rFonts w:ascii="Arial" w:hAnsi="Arial" w:cs="Arial"/>
          <w:color w:val="333333"/>
          <w:sz w:val="16"/>
          <w:szCs w:val="16"/>
          <w:shd w:val="clear" w:color="auto" w:fill="FFFFFF"/>
        </w:rPr>
        <w:t>Theunissen</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E. L.</w:t>
      </w:r>
      <w:r w:rsidRPr="00AC67E9">
        <w:rPr>
          <w:rStyle w:val="ref-overlay"/>
          <w:rFonts w:ascii="Arial" w:hAnsi="Arial" w:cs="Arial"/>
          <w:color w:val="333333"/>
          <w:sz w:val="16"/>
          <w:szCs w:val="16"/>
          <w:shd w:val="clear" w:color="auto" w:fill="FFFFFF"/>
        </w:rPr>
        <w:t>, </w:t>
      </w:r>
      <w:r w:rsidRPr="00AC67E9">
        <w:rPr>
          <w:rStyle w:val="hlfld-contribauthor"/>
          <w:rFonts w:ascii="Arial" w:hAnsi="Arial" w:cs="Arial"/>
          <w:color w:val="333333"/>
          <w:sz w:val="16"/>
          <w:szCs w:val="16"/>
          <w:shd w:val="clear" w:color="auto" w:fill="FFFFFF"/>
        </w:rPr>
        <w:t>Schneider, </w:t>
      </w:r>
      <w:r w:rsidRPr="00AC67E9">
        <w:rPr>
          <w:rStyle w:val="nlmgiven-names"/>
          <w:rFonts w:ascii="Arial" w:hAnsi="Arial" w:cs="Arial"/>
          <w:color w:val="333333"/>
          <w:sz w:val="16"/>
          <w:szCs w:val="16"/>
          <w:shd w:val="clear" w:color="auto" w:fill="FFFFFF"/>
        </w:rPr>
        <w:t>E.</w:t>
      </w:r>
      <w:r w:rsidRPr="00AC67E9">
        <w:rPr>
          <w:rStyle w:val="ref-overlay"/>
          <w:rFonts w:ascii="Arial" w:hAnsi="Arial" w:cs="Arial"/>
          <w:color w:val="333333"/>
          <w:sz w:val="16"/>
          <w:szCs w:val="16"/>
          <w:shd w:val="clear" w:color="auto" w:fill="FFFFFF"/>
        </w:rPr>
        <w:t>, &amp; </w:t>
      </w:r>
      <w:r w:rsidRPr="00AC67E9">
        <w:rPr>
          <w:rStyle w:val="hlfld-contribauthor"/>
          <w:rFonts w:ascii="Arial" w:hAnsi="Arial" w:cs="Arial"/>
          <w:color w:val="333333"/>
          <w:sz w:val="16"/>
          <w:szCs w:val="16"/>
          <w:shd w:val="clear" w:color="auto" w:fill="FFFFFF"/>
        </w:rPr>
        <w:t>Moeller, </w:t>
      </w:r>
      <w:r w:rsidRPr="00AC67E9">
        <w:rPr>
          <w:rStyle w:val="nlmgiven-names"/>
          <w:rFonts w:ascii="Arial" w:hAnsi="Arial" w:cs="Arial"/>
          <w:color w:val="333333"/>
          <w:sz w:val="16"/>
          <w:szCs w:val="16"/>
          <w:shd w:val="clear" w:color="auto" w:fill="FFFFFF"/>
        </w:rPr>
        <w:t>M. R.</w:t>
      </w:r>
      <w:r w:rsidRPr="00AC67E9">
        <w:rPr>
          <w:rStyle w:val="ref-overlay"/>
          <w:rFonts w:ascii="Arial" w:hAnsi="Arial" w:cs="Arial"/>
          <w:color w:val="333333"/>
          <w:sz w:val="16"/>
          <w:szCs w:val="16"/>
          <w:shd w:val="clear" w:color="auto" w:fill="FFFFFF"/>
        </w:rPr>
        <w:t> (</w:t>
      </w:r>
      <w:r w:rsidRPr="00AC67E9">
        <w:rPr>
          <w:rStyle w:val="nlmyear"/>
          <w:rFonts w:ascii="Arial" w:hAnsi="Arial" w:cs="Arial"/>
          <w:color w:val="333333"/>
          <w:sz w:val="16"/>
          <w:szCs w:val="16"/>
          <w:shd w:val="clear" w:color="auto" w:fill="FFFFFF"/>
        </w:rPr>
        <w:t>2006</w:t>
      </w:r>
      <w:r w:rsidRPr="00AC67E9">
        <w:rPr>
          <w:rStyle w:val="ref-overlay"/>
          <w:rFonts w:ascii="Arial" w:hAnsi="Arial" w:cs="Arial"/>
          <w:color w:val="333333"/>
          <w:sz w:val="16"/>
          <w:szCs w:val="16"/>
          <w:shd w:val="clear" w:color="auto" w:fill="FFFFFF"/>
        </w:rPr>
        <w:t>). </w:t>
      </w:r>
      <w:r w:rsidRPr="00AC67E9">
        <w:rPr>
          <w:rStyle w:val="nlmarticle-title"/>
          <w:rFonts w:ascii="Arial" w:hAnsi="Arial" w:cs="Arial"/>
          <w:color w:val="333333"/>
          <w:sz w:val="16"/>
          <w:szCs w:val="16"/>
          <w:shd w:val="clear" w:color="auto" w:fill="FFFFFF"/>
        </w:rPr>
        <w:t>High-potency marijuana impairs executive function and inhibitory motor control</w:t>
      </w:r>
      <w:r w:rsidRPr="00AC67E9">
        <w:rPr>
          <w:rStyle w:val="ref-overlay"/>
          <w:rFonts w:ascii="Arial" w:hAnsi="Arial" w:cs="Arial"/>
          <w:color w:val="333333"/>
          <w:sz w:val="16"/>
          <w:szCs w:val="16"/>
          <w:shd w:val="clear" w:color="auto" w:fill="FFFFFF"/>
        </w:rPr>
        <w:t xml:space="preserve">. </w:t>
      </w:r>
      <w:proofErr w:type="spellStart"/>
      <w:r w:rsidR="008C0384">
        <w:rPr>
          <w:rStyle w:val="ref-overlay"/>
          <w:rFonts w:ascii="Arial" w:hAnsi="Arial" w:cs="Arial"/>
          <w:i/>
          <w:color w:val="333333"/>
          <w:sz w:val="16"/>
          <w:szCs w:val="16"/>
          <w:shd w:val="clear" w:color="auto" w:fill="FFFFFF"/>
          <w:lang w:val="fr-FR"/>
        </w:rPr>
        <w:t>Neuropsychopharmacology</w:t>
      </w:r>
      <w:proofErr w:type="spellEnd"/>
      <w:r w:rsidR="008C0384">
        <w:rPr>
          <w:rStyle w:val="ref-overlay"/>
          <w:rFonts w:ascii="Arial" w:hAnsi="Arial" w:cs="Arial"/>
          <w:i/>
          <w:color w:val="333333"/>
          <w:sz w:val="16"/>
          <w:szCs w:val="16"/>
          <w:shd w:val="clear" w:color="auto" w:fill="FFFFFF"/>
          <w:lang w:val="fr-FR"/>
        </w:rPr>
        <w:t>.</w:t>
      </w:r>
      <w:r w:rsidRPr="008C0384">
        <w:rPr>
          <w:rStyle w:val="ref-overlay"/>
          <w:rFonts w:ascii="Arial" w:hAnsi="Arial" w:cs="Arial"/>
          <w:i/>
          <w:color w:val="333333"/>
          <w:sz w:val="16"/>
          <w:szCs w:val="16"/>
          <w:shd w:val="clear" w:color="auto" w:fill="FFFFFF"/>
          <w:lang w:val="fr-FR"/>
        </w:rPr>
        <w:t xml:space="preserve"> 31</w:t>
      </w:r>
      <w:r w:rsidR="008C0384">
        <w:rPr>
          <w:rStyle w:val="ref-overlay"/>
          <w:rFonts w:ascii="Arial" w:hAnsi="Arial" w:cs="Arial"/>
          <w:i/>
          <w:color w:val="333333"/>
          <w:sz w:val="16"/>
          <w:szCs w:val="16"/>
          <w:shd w:val="clear" w:color="auto" w:fill="FFFFFF"/>
          <w:lang w:val="fr-FR"/>
        </w:rPr>
        <w:t> </w:t>
      </w:r>
      <w:r w:rsidR="008C0384">
        <w:rPr>
          <w:rStyle w:val="ref-overlay"/>
          <w:rFonts w:ascii="Arial" w:hAnsi="Arial" w:cs="Arial"/>
          <w:color w:val="333333"/>
          <w:sz w:val="16"/>
          <w:szCs w:val="16"/>
          <w:shd w:val="clear" w:color="auto" w:fill="FFFFFF"/>
          <w:lang w:val="fr-FR"/>
        </w:rPr>
        <w:t>:</w:t>
      </w:r>
      <w:r w:rsidRPr="00AC67E9">
        <w:rPr>
          <w:rStyle w:val="nlmfpage"/>
          <w:rFonts w:ascii="Arial" w:eastAsiaTheme="minorEastAsia" w:hAnsi="Arial" w:cs="Arial"/>
          <w:color w:val="333333"/>
          <w:sz w:val="16"/>
          <w:szCs w:val="16"/>
          <w:shd w:val="clear" w:color="auto" w:fill="FFFFFF"/>
          <w:lang w:val="fr-FR"/>
        </w:rPr>
        <w:t>2296</w:t>
      </w:r>
      <w:r w:rsidRPr="00AC67E9">
        <w:rPr>
          <w:rStyle w:val="ref-overlay"/>
          <w:rFonts w:ascii="Arial" w:hAnsi="Arial" w:cs="Arial"/>
          <w:color w:val="333333"/>
          <w:sz w:val="16"/>
          <w:szCs w:val="16"/>
          <w:shd w:val="clear" w:color="auto" w:fill="FFFFFF"/>
          <w:lang w:val="fr-FR"/>
        </w:rPr>
        <w:t>–</w:t>
      </w:r>
      <w:r w:rsidRPr="00AC67E9">
        <w:rPr>
          <w:rStyle w:val="nlmlpage"/>
          <w:rFonts w:ascii="Arial" w:hAnsi="Arial" w:cs="Arial"/>
          <w:color w:val="333333"/>
          <w:sz w:val="16"/>
          <w:szCs w:val="16"/>
          <w:shd w:val="clear" w:color="auto" w:fill="FFFFFF"/>
          <w:lang w:val="fr-FR"/>
        </w:rPr>
        <w:t>2303</w:t>
      </w:r>
      <w:r w:rsidRPr="00AC67E9">
        <w:rPr>
          <w:rStyle w:val="ref-overlay"/>
          <w:rFonts w:ascii="Arial" w:hAnsi="Arial" w:cs="Arial"/>
          <w:color w:val="333333"/>
          <w:sz w:val="16"/>
          <w:szCs w:val="16"/>
          <w:shd w:val="clear" w:color="auto" w:fill="FFFFFF"/>
          <w:lang w:val="fr-FR"/>
        </w:rPr>
        <w:t xml:space="preserve">. </w:t>
      </w:r>
      <w:proofErr w:type="gramStart"/>
      <w:r w:rsidRPr="00AC67E9">
        <w:rPr>
          <w:rStyle w:val="ref-overlay"/>
          <w:rFonts w:ascii="Arial" w:hAnsi="Arial" w:cs="Arial"/>
          <w:color w:val="333333"/>
          <w:sz w:val="16"/>
          <w:szCs w:val="16"/>
          <w:shd w:val="clear" w:color="auto" w:fill="FFFFFF"/>
          <w:lang w:val="fr-FR"/>
        </w:rPr>
        <w:t>doi:</w:t>
      </w:r>
      <w:r w:rsidRPr="00AC67E9">
        <w:rPr>
          <w:rStyle w:val="ref-overlay"/>
          <w:rFonts w:ascii="Arial" w:hAnsi="Arial" w:cs="Arial"/>
          <w:color w:val="333333"/>
          <w:sz w:val="16"/>
          <w:szCs w:val="16"/>
          <w:lang w:val="fr-FR"/>
        </w:rPr>
        <w:t>10.1038/sj.npp</w:t>
      </w:r>
      <w:proofErr w:type="gramEnd"/>
      <w:r w:rsidRPr="00AC67E9">
        <w:rPr>
          <w:rStyle w:val="ref-overlay"/>
          <w:rFonts w:ascii="Arial" w:hAnsi="Arial" w:cs="Arial"/>
          <w:color w:val="333333"/>
          <w:sz w:val="16"/>
          <w:szCs w:val="16"/>
          <w:lang w:val="fr-FR"/>
        </w:rPr>
        <w:t>.1301068</w:t>
      </w:r>
    </w:p>
  </w:footnote>
  <w:footnote w:id="44">
    <w:p w14:paraId="7AA80A1C" w14:textId="59913158" w:rsidR="00C60810" w:rsidRPr="00AC67E9" w:rsidRDefault="00C60810" w:rsidP="00DC2E66">
      <w:pPr>
        <w:pStyle w:val="FootnoteText"/>
        <w:ind w:right="-720"/>
        <w:rPr>
          <w:rFonts w:ascii="Arial" w:hAnsi="Arial" w:cs="Arial"/>
          <w:sz w:val="16"/>
          <w:szCs w:val="16"/>
        </w:rPr>
      </w:pPr>
      <w:r w:rsidRPr="00AC67E9">
        <w:rPr>
          <w:rStyle w:val="FootnoteReference"/>
          <w:rFonts w:ascii="Arial" w:hAnsi="Arial" w:cs="Arial"/>
          <w:sz w:val="16"/>
          <w:szCs w:val="16"/>
        </w:rPr>
        <w:footnoteRef/>
      </w:r>
      <w:r>
        <w:rPr>
          <w:rFonts w:ascii="Arial" w:hAnsi="Arial" w:cs="Arial"/>
          <w:sz w:val="16"/>
          <w:szCs w:val="16"/>
          <w:lang w:val="fr-FR"/>
        </w:rPr>
        <w:t xml:space="preserve"> </w:t>
      </w:r>
      <w:proofErr w:type="spellStart"/>
      <w:r w:rsidRPr="00AC67E9">
        <w:rPr>
          <w:rFonts w:ascii="Arial" w:hAnsi="Arial" w:cs="Arial"/>
          <w:color w:val="333333"/>
          <w:sz w:val="16"/>
          <w:szCs w:val="16"/>
          <w:lang w:val="fr-FR"/>
        </w:rPr>
        <w:t>Rigucci</w:t>
      </w:r>
      <w:proofErr w:type="spellEnd"/>
      <w:r w:rsidRPr="00AC67E9">
        <w:rPr>
          <w:rFonts w:ascii="Arial" w:hAnsi="Arial" w:cs="Arial"/>
          <w:color w:val="333333"/>
          <w:sz w:val="16"/>
          <w:szCs w:val="16"/>
          <w:lang w:val="fr-FR"/>
        </w:rPr>
        <w:t xml:space="preserve"> et al., </w:t>
      </w:r>
      <w:r w:rsidRPr="00AC67E9">
        <w:rPr>
          <w:rStyle w:val="ref-lnk"/>
          <w:rFonts w:ascii="Arial" w:hAnsi="Arial" w:cs="Arial"/>
          <w:color w:val="333333"/>
          <w:sz w:val="16"/>
          <w:szCs w:val="16"/>
          <w:lang w:val="fr-FR"/>
        </w:rPr>
        <w:t>2016</w:t>
      </w:r>
      <w:r w:rsidRPr="00AC67E9">
        <w:rPr>
          <w:rStyle w:val="hlfld-contribauthor"/>
          <w:rFonts w:ascii="Arial" w:hAnsi="Arial" w:cs="Arial"/>
          <w:color w:val="333333"/>
          <w:sz w:val="16"/>
          <w:szCs w:val="16"/>
          <w:shd w:val="clear" w:color="auto" w:fill="FFFFFF"/>
          <w:lang w:val="fr-FR"/>
        </w:rPr>
        <w:t>Rigucci, </w:t>
      </w:r>
      <w:r w:rsidRPr="00AC67E9">
        <w:rPr>
          <w:rStyle w:val="nlmgiven-names"/>
          <w:rFonts w:ascii="Arial" w:hAnsi="Arial" w:cs="Arial"/>
          <w:color w:val="333333"/>
          <w:sz w:val="16"/>
          <w:szCs w:val="16"/>
          <w:shd w:val="clear" w:color="auto" w:fill="FFFFFF"/>
          <w:lang w:val="fr-FR"/>
        </w:rPr>
        <w:t>S.</w:t>
      </w:r>
      <w:r w:rsidRPr="00AC67E9">
        <w:rPr>
          <w:rStyle w:val="ref-overlay"/>
          <w:rFonts w:ascii="Arial" w:hAnsi="Arial" w:cs="Arial"/>
          <w:color w:val="333333"/>
          <w:sz w:val="16"/>
          <w:szCs w:val="16"/>
          <w:shd w:val="clear" w:color="auto" w:fill="FFFFFF"/>
          <w:lang w:val="fr-FR"/>
        </w:rPr>
        <w:t>, </w:t>
      </w:r>
      <w:r w:rsidRPr="00AC67E9">
        <w:rPr>
          <w:rStyle w:val="hlfld-contribauthor"/>
          <w:rFonts w:ascii="Arial" w:hAnsi="Arial" w:cs="Arial"/>
          <w:color w:val="333333"/>
          <w:sz w:val="16"/>
          <w:szCs w:val="16"/>
          <w:shd w:val="clear" w:color="auto" w:fill="FFFFFF"/>
          <w:lang w:val="fr-FR"/>
        </w:rPr>
        <w:t>Marques, </w:t>
      </w:r>
      <w:r w:rsidRPr="00AC67E9">
        <w:rPr>
          <w:rStyle w:val="nlmgiven-names"/>
          <w:rFonts w:ascii="Arial" w:hAnsi="Arial" w:cs="Arial"/>
          <w:color w:val="333333"/>
          <w:sz w:val="16"/>
          <w:szCs w:val="16"/>
          <w:shd w:val="clear" w:color="auto" w:fill="FFFFFF"/>
          <w:lang w:val="fr-FR"/>
        </w:rPr>
        <w:t>T. R.</w:t>
      </w:r>
      <w:r w:rsidRPr="00AC67E9">
        <w:rPr>
          <w:rStyle w:val="ref-overlay"/>
          <w:rFonts w:ascii="Arial" w:hAnsi="Arial" w:cs="Arial"/>
          <w:color w:val="333333"/>
          <w:sz w:val="16"/>
          <w:szCs w:val="16"/>
          <w:shd w:val="clear" w:color="auto" w:fill="FFFFFF"/>
          <w:lang w:val="fr-FR"/>
        </w:rPr>
        <w:t>, </w:t>
      </w:r>
      <w:r w:rsidRPr="00AC67E9">
        <w:rPr>
          <w:rStyle w:val="hlfld-contribauthor"/>
          <w:rFonts w:ascii="Arial" w:hAnsi="Arial" w:cs="Arial"/>
          <w:color w:val="333333"/>
          <w:sz w:val="16"/>
          <w:szCs w:val="16"/>
          <w:shd w:val="clear" w:color="auto" w:fill="FFFFFF"/>
          <w:lang w:val="fr-FR"/>
        </w:rPr>
        <w:t xml:space="preserve">Di </w:t>
      </w:r>
      <w:proofErr w:type="spellStart"/>
      <w:r w:rsidRPr="00AC67E9">
        <w:rPr>
          <w:rStyle w:val="hlfld-contribauthor"/>
          <w:rFonts w:ascii="Arial" w:hAnsi="Arial" w:cs="Arial"/>
          <w:color w:val="333333"/>
          <w:sz w:val="16"/>
          <w:szCs w:val="16"/>
          <w:shd w:val="clear" w:color="auto" w:fill="FFFFFF"/>
          <w:lang w:val="fr-FR"/>
        </w:rPr>
        <w:t>Forti</w:t>
      </w:r>
      <w:proofErr w:type="spellEnd"/>
      <w:r w:rsidRPr="00AC67E9">
        <w:rPr>
          <w:rStyle w:val="hlfld-contribauthor"/>
          <w:rFonts w:ascii="Arial" w:hAnsi="Arial" w:cs="Arial"/>
          <w:color w:val="333333"/>
          <w:sz w:val="16"/>
          <w:szCs w:val="16"/>
          <w:shd w:val="clear" w:color="auto" w:fill="FFFFFF"/>
          <w:lang w:val="fr-FR"/>
        </w:rPr>
        <w:t>, </w:t>
      </w:r>
      <w:r w:rsidRPr="00AC67E9">
        <w:rPr>
          <w:rStyle w:val="nlmgiven-names"/>
          <w:rFonts w:ascii="Arial" w:hAnsi="Arial" w:cs="Arial"/>
          <w:color w:val="333333"/>
          <w:sz w:val="16"/>
          <w:szCs w:val="16"/>
          <w:shd w:val="clear" w:color="auto" w:fill="FFFFFF"/>
          <w:lang w:val="fr-FR"/>
        </w:rPr>
        <w:t>M.</w:t>
      </w:r>
      <w:r w:rsidRPr="00AC67E9">
        <w:rPr>
          <w:rStyle w:val="ref-overlay"/>
          <w:rFonts w:ascii="Arial" w:hAnsi="Arial" w:cs="Arial"/>
          <w:color w:val="333333"/>
          <w:sz w:val="16"/>
          <w:szCs w:val="16"/>
          <w:shd w:val="clear" w:color="auto" w:fill="FFFFFF"/>
          <w:lang w:val="fr-FR"/>
        </w:rPr>
        <w:t>, </w:t>
      </w:r>
      <w:r w:rsidRPr="00AC67E9">
        <w:rPr>
          <w:rStyle w:val="hlfld-contribauthor"/>
          <w:rFonts w:ascii="Arial" w:hAnsi="Arial" w:cs="Arial"/>
          <w:color w:val="333333"/>
          <w:sz w:val="16"/>
          <w:szCs w:val="16"/>
          <w:shd w:val="clear" w:color="auto" w:fill="FFFFFF"/>
          <w:lang w:val="fr-FR"/>
        </w:rPr>
        <w:t>Taylor, </w:t>
      </w:r>
      <w:r w:rsidRPr="00AC67E9">
        <w:rPr>
          <w:rStyle w:val="nlmgiven-names"/>
          <w:rFonts w:ascii="Arial" w:hAnsi="Arial" w:cs="Arial"/>
          <w:color w:val="333333"/>
          <w:sz w:val="16"/>
          <w:szCs w:val="16"/>
          <w:shd w:val="clear" w:color="auto" w:fill="FFFFFF"/>
          <w:lang w:val="fr-FR"/>
        </w:rPr>
        <w:t>H.</w:t>
      </w:r>
      <w:r w:rsidRPr="00AC67E9">
        <w:rPr>
          <w:rStyle w:val="ref-overlay"/>
          <w:rFonts w:ascii="Arial" w:hAnsi="Arial" w:cs="Arial"/>
          <w:color w:val="333333"/>
          <w:sz w:val="16"/>
          <w:szCs w:val="16"/>
          <w:shd w:val="clear" w:color="auto" w:fill="FFFFFF"/>
          <w:lang w:val="fr-FR"/>
        </w:rPr>
        <w:t>, </w:t>
      </w:r>
      <w:proofErr w:type="spellStart"/>
      <w:r w:rsidRPr="00AC67E9">
        <w:rPr>
          <w:rStyle w:val="hlfld-contribauthor"/>
          <w:rFonts w:ascii="Arial" w:hAnsi="Arial" w:cs="Arial"/>
          <w:color w:val="333333"/>
          <w:sz w:val="16"/>
          <w:szCs w:val="16"/>
          <w:shd w:val="clear" w:color="auto" w:fill="FFFFFF"/>
          <w:lang w:val="fr-FR"/>
        </w:rPr>
        <w:t>Dell'Acqua</w:t>
      </w:r>
      <w:proofErr w:type="spellEnd"/>
      <w:r w:rsidRPr="00AC67E9">
        <w:rPr>
          <w:rStyle w:val="hlfld-contribauthor"/>
          <w:rFonts w:ascii="Arial" w:hAnsi="Arial" w:cs="Arial"/>
          <w:color w:val="333333"/>
          <w:sz w:val="16"/>
          <w:szCs w:val="16"/>
          <w:shd w:val="clear" w:color="auto" w:fill="FFFFFF"/>
          <w:lang w:val="fr-FR"/>
        </w:rPr>
        <w:t>, </w:t>
      </w:r>
      <w:r w:rsidRPr="00AC67E9">
        <w:rPr>
          <w:rStyle w:val="nlmgiven-names"/>
          <w:rFonts w:ascii="Arial" w:hAnsi="Arial" w:cs="Arial"/>
          <w:color w:val="333333"/>
          <w:sz w:val="16"/>
          <w:szCs w:val="16"/>
          <w:shd w:val="clear" w:color="auto" w:fill="FFFFFF"/>
          <w:lang w:val="fr-FR"/>
        </w:rPr>
        <w:t>F.</w:t>
      </w:r>
      <w:r w:rsidRPr="00AC67E9">
        <w:rPr>
          <w:rStyle w:val="ref-overlay"/>
          <w:rFonts w:ascii="Arial" w:hAnsi="Arial" w:cs="Arial"/>
          <w:color w:val="333333"/>
          <w:sz w:val="16"/>
          <w:szCs w:val="16"/>
          <w:shd w:val="clear" w:color="auto" w:fill="FFFFFF"/>
          <w:lang w:val="fr-FR"/>
        </w:rPr>
        <w:t>, </w:t>
      </w:r>
      <w:proofErr w:type="spellStart"/>
      <w:r w:rsidRPr="00AC67E9">
        <w:rPr>
          <w:rStyle w:val="hlfld-contribauthor"/>
          <w:rFonts w:ascii="Arial" w:hAnsi="Arial" w:cs="Arial"/>
          <w:color w:val="333333"/>
          <w:sz w:val="16"/>
          <w:szCs w:val="16"/>
          <w:shd w:val="clear" w:color="auto" w:fill="FFFFFF"/>
          <w:lang w:val="fr-FR"/>
        </w:rPr>
        <w:t>Mondelli</w:t>
      </w:r>
      <w:proofErr w:type="spellEnd"/>
      <w:r w:rsidRPr="00AC67E9">
        <w:rPr>
          <w:rStyle w:val="hlfld-contribauthor"/>
          <w:rFonts w:ascii="Arial" w:hAnsi="Arial" w:cs="Arial"/>
          <w:color w:val="333333"/>
          <w:sz w:val="16"/>
          <w:szCs w:val="16"/>
          <w:shd w:val="clear" w:color="auto" w:fill="FFFFFF"/>
          <w:lang w:val="fr-FR"/>
        </w:rPr>
        <w:t>, </w:t>
      </w:r>
      <w:r w:rsidRPr="00AC67E9">
        <w:rPr>
          <w:rStyle w:val="nlmgiven-names"/>
          <w:rFonts w:ascii="Arial" w:hAnsi="Arial" w:cs="Arial"/>
          <w:color w:val="333333"/>
          <w:sz w:val="16"/>
          <w:szCs w:val="16"/>
          <w:shd w:val="clear" w:color="auto" w:fill="FFFFFF"/>
          <w:lang w:val="fr-FR"/>
        </w:rPr>
        <w:t>V.</w:t>
      </w:r>
      <w:r w:rsidRPr="00AC67E9">
        <w:rPr>
          <w:rStyle w:val="ref-overlay"/>
          <w:rFonts w:ascii="Arial" w:hAnsi="Arial" w:cs="Arial"/>
          <w:color w:val="333333"/>
          <w:sz w:val="16"/>
          <w:szCs w:val="16"/>
          <w:shd w:val="clear" w:color="auto" w:fill="FFFFFF"/>
          <w:lang w:val="fr-FR"/>
        </w:rPr>
        <w:t>, … </w:t>
      </w:r>
      <w:proofErr w:type="spellStart"/>
      <w:r w:rsidRPr="00AC67E9">
        <w:rPr>
          <w:rStyle w:val="hlfld-contribauthor"/>
          <w:rFonts w:ascii="Arial" w:hAnsi="Arial" w:cs="Arial"/>
          <w:color w:val="333333"/>
          <w:sz w:val="16"/>
          <w:szCs w:val="16"/>
          <w:shd w:val="clear" w:color="auto" w:fill="FFFFFF"/>
        </w:rPr>
        <w:t>Dazzan</w:t>
      </w:r>
      <w:proofErr w:type="spellEnd"/>
      <w:r w:rsidRPr="00AC67E9">
        <w:rPr>
          <w:rStyle w:val="hlfld-contribauthor"/>
          <w:rFonts w:ascii="Arial" w:hAnsi="Arial" w:cs="Arial"/>
          <w:color w:val="333333"/>
          <w:sz w:val="16"/>
          <w:szCs w:val="16"/>
          <w:shd w:val="clear" w:color="auto" w:fill="FFFFFF"/>
        </w:rPr>
        <w:t>, </w:t>
      </w:r>
      <w:r w:rsidRPr="00AC67E9">
        <w:rPr>
          <w:rStyle w:val="nlmgiven-names"/>
          <w:rFonts w:ascii="Arial" w:hAnsi="Arial" w:cs="Arial"/>
          <w:color w:val="333333"/>
          <w:sz w:val="16"/>
          <w:szCs w:val="16"/>
          <w:shd w:val="clear" w:color="auto" w:fill="FFFFFF"/>
        </w:rPr>
        <w:t>P.</w:t>
      </w:r>
      <w:r w:rsidRPr="00AC67E9">
        <w:rPr>
          <w:rStyle w:val="ref-overlay"/>
          <w:rFonts w:ascii="Arial" w:hAnsi="Arial" w:cs="Arial"/>
          <w:color w:val="333333"/>
          <w:sz w:val="16"/>
          <w:szCs w:val="16"/>
          <w:shd w:val="clear" w:color="auto" w:fill="FFFFFF"/>
        </w:rPr>
        <w:t> (</w:t>
      </w:r>
      <w:r w:rsidRPr="00AC67E9">
        <w:rPr>
          <w:rStyle w:val="nlmyear"/>
          <w:rFonts w:ascii="Arial" w:hAnsi="Arial" w:cs="Arial"/>
          <w:color w:val="333333"/>
          <w:sz w:val="16"/>
          <w:szCs w:val="16"/>
          <w:shd w:val="clear" w:color="auto" w:fill="FFFFFF"/>
        </w:rPr>
        <w:t>2016</w:t>
      </w:r>
      <w:r w:rsidRPr="00AC67E9">
        <w:rPr>
          <w:rStyle w:val="ref-overlay"/>
          <w:rFonts w:ascii="Arial" w:hAnsi="Arial" w:cs="Arial"/>
          <w:color w:val="333333"/>
          <w:sz w:val="16"/>
          <w:szCs w:val="16"/>
          <w:shd w:val="clear" w:color="auto" w:fill="FFFFFF"/>
        </w:rPr>
        <w:t>). </w:t>
      </w:r>
      <w:r w:rsidRPr="00AC67E9">
        <w:rPr>
          <w:rStyle w:val="nlmarticle-title"/>
          <w:rFonts w:ascii="Arial" w:hAnsi="Arial" w:cs="Arial"/>
          <w:color w:val="333333"/>
          <w:sz w:val="16"/>
          <w:szCs w:val="16"/>
          <w:shd w:val="clear" w:color="auto" w:fill="FFFFFF"/>
        </w:rPr>
        <w:t>Effect of high-potency cannabis on corpus callosum microstructure</w:t>
      </w:r>
      <w:r w:rsidRPr="00AC67E9">
        <w:rPr>
          <w:rStyle w:val="ref-overlay"/>
          <w:rFonts w:ascii="Arial" w:hAnsi="Arial" w:cs="Arial"/>
          <w:color w:val="333333"/>
          <w:sz w:val="16"/>
          <w:szCs w:val="16"/>
          <w:shd w:val="clear" w:color="auto" w:fill="FFFFFF"/>
        </w:rPr>
        <w:t xml:space="preserve">. </w:t>
      </w:r>
      <w:r w:rsidRPr="008C0384">
        <w:rPr>
          <w:rStyle w:val="ref-overlay"/>
          <w:rFonts w:ascii="Arial" w:hAnsi="Arial" w:cs="Arial"/>
          <w:i/>
          <w:color w:val="333333"/>
          <w:sz w:val="16"/>
          <w:szCs w:val="16"/>
          <w:shd w:val="clear" w:color="auto" w:fill="FFFFFF"/>
        </w:rPr>
        <w:t>Psychological Medicine</w:t>
      </w:r>
      <w:r w:rsidR="008C0384">
        <w:rPr>
          <w:rStyle w:val="ref-overlay"/>
          <w:rFonts w:ascii="Arial" w:hAnsi="Arial" w:cs="Arial"/>
          <w:i/>
          <w:color w:val="333333"/>
          <w:sz w:val="16"/>
          <w:szCs w:val="16"/>
          <w:shd w:val="clear" w:color="auto" w:fill="FFFFFF"/>
        </w:rPr>
        <w:t>.</w:t>
      </w:r>
      <w:r w:rsidRPr="008C0384">
        <w:rPr>
          <w:rStyle w:val="ref-overlay"/>
          <w:rFonts w:ascii="Arial" w:hAnsi="Arial" w:cs="Arial"/>
          <w:i/>
          <w:color w:val="333333"/>
          <w:sz w:val="16"/>
          <w:szCs w:val="16"/>
          <w:shd w:val="clear" w:color="auto" w:fill="FFFFFF"/>
        </w:rPr>
        <w:t xml:space="preserve"> 46</w:t>
      </w:r>
      <w:r w:rsidR="008C0384">
        <w:rPr>
          <w:rStyle w:val="ref-overlay"/>
          <w:rFonts w:ascii="Arial" w:hAnsi="Arial" w:cs="Arial"/>
          <w:color w:val="333333"/>
          <w:sz w:val="16"/>
          <w:szCs w:val="16"/>
          <w:shd w:val="clear" w:color="auto" w:fill="FFFFFF"/>
        </w:rPr>
        <w:t>:</w:t>
      </w:r>
      <w:r w:rsidRPr="00AC67E9">
        <w:rPr>
          <w:rStyle w:val="nlmfpage"/>
          <w:rFonts w:ascii="Arial" w:eastAsiaTheme="minorEastAsia" w:hAnsi="Arial" w:cs="Arial"/>
          <w:color w:val="333333"/>
          <w:sz w:val="16"/>
          <w:szCs w:val="16"/>
          <w:shd w:val="clear" w:color="auto" w:fill="FFFFFF"/>
        </w:rPr>
        <w:t>841</w:t>
      </w:r>
      <w:r w:rsidRPr="00AC67E9">
        <w:rPr>
          <w:rStyle w:val="ref-overlay"/>
          <w:rFonts w:ascii="Arial" w:hAnsi="Arial" w:cs="Arial"/>
          <w:color w:val="333333"/>
          <w:sz w:val="16"/>
          <w:szCs w:val="16"/>
          <w:shd w:val="clear" w:color="auto" w:fill="FFFFFF"/>
        </w:rPr>
        <w:t>–</w:t>
      </w:r>
      <w:r w:rsidRPr="00AC67E9">
        <w:rPr>
          <w:rStyle w:val="nlmlpage"/>
          <w:rFonts w:ascii="Arial" w:hAnsi="Arial" w:cs="Arial"/>
          <w:color w:val="333333"/>
          <w:sz w:val="16"/>
          <w:szCs w:val="16"/>
          <w:shd w:val="clear" w:color="auto" w:fill="FFFFFF"/>
        </w:rPr>
        <w:t>854</w:t>
      </w:r>
      <w:r w:rsidRPr="00AC67E9">
        <w:rPr>
          <w:rStyle w:val="ref-overlay"/>
          <w:rFonts w:ascii="Arial" w:hAnsi="Arial" w:cs="Arial"/>
          <w:color w:val="333333"/>
          <w:sz w:val="16"/>
          <w:szCs w:val="16"/>
          <w:shd w:val="clear" w:color="auto" w:fill="FFFFFF"/>
        </w:rPr>
        <w:t>. doi:</w:t>
      </w:r>
      <w:r w:rsidRPr="00AC67E9">
        <w:rPr>
          <w:rStyle w:val="ref-overlay"/>
          <w:rFonts w:ascii="Arial" w:hAnsi="Arial" w:cs="Arial"/>
          <w:color w:val="333333"/>
          <w:sz w:val="16"/>
          <w:szCs w:val="16"/>
        </w:rPr>
        <w:t>10.1017/S0033291715002342</w:t>
      </w:r>
    </w:p>
  </w:footnote>
  <w:footnote w:id="45">
    <w:p w14:paraId="1B98C6BD" w14:textId="1CABC56C" w:rsidR="00C60810" w:rsidRPr="00AD7828" w:rsidRDefault="00C60810" w:rsidP="00DC2E66">
      <w:pPr>
        <w:pStyle w:val="Heading1"/>
        <w:shd w:val="clear" w:color="auto" w:fill="FFFFFF"/>
        <w:spacing w:before="0" w:beforeAutospacing="0" w:after="0" w:afterAutospacing="0"/>
        <w:ind w:right="-720"/>
        <w:contextualSpacing/>
        <w:rPr>
          <w:rFonts w:ascii="Arial" w:hAnsi="Arial" w:cs="Arial"/>
          <w:color w:val="000000"/>
          <w:sz w:val="16"/>
          <w:szCs w:val="16"/>
        </w:rPr>
      </w:pPr>
      <w:r w:rsidRPr="00AD7828">
        <w:rPr>
          <w:rStyle w:val="FootnoteReference"/>
          <w:rFonts w:ascii="Arial" w:hAnsi="Arial" w:cs="Arial"/>
          <w:b w:val="0"/>
          <w:sz w:val="16"/>
          <w:szCs w:val="16"/>
        </w:rPr>
        <w:footnoteRef/>
      </w:r>
      <w:r w:rsidRPr="00AD7828">
        <w:rPr>
          <w:rFonts w:ascii="Arial" w:hAnsi="Arial" w:cs="Arial"/>
          <w:b w:val="0"/>
          <w:sz w:val="16"/>
          <w:szCs w:val="16"/>
        </w:rPr>
        <w:t xml:space="preserve"> </w:t>
      </w:r>
      <w:r w:rsidRPr="008C0384">
        <w:rPr>
          <w:rFonts w:ascii="Arial" w:hAnsi="Arial" w:cs="Arial"/>
          <w:b w:val="0"/>
          <w:color w:val="000000"/>
          <w:sz w:val="16"/>
          <w:szCs w:val="16"/>
        </w:rPr>
        <w:t>Freeman TP</w:t>
      </w:r>
      <w:r w:rsidRPr="00AD7828">
        <w:rPr>
          <w:rFonts w:ascii="Arial" w:hAnsi="Arial" w:cs="Arial"/>
          <w:b w:val="0"/>
          <w:color w:val="000000"/>
          <w:sz w:val="16"/>
          <w:szCs w:val="16"/>
        </w:rPr>
        <w:t>, </w:t>
      </w:r>
      <w:proofErr w:type="spellStart"/>
      <w:r w:rsidRPr="008C0384">
        <w:rPr>
          <w:rFonts w:ascii="Arial" w:hAnsi="Arial" w:cs="Arial"/>
          <w:b w:val="0"/>
          <w:color w:val="000000"/>
          <w:sz w:val="16"/>
          <w:szCs w:val="16"/>
        </w:rPr>
        <w:t>Winstock</w:t>
      </w:r>
      <w:proofErr w:type="spellEnd"/>
      <w:r w:rsidRPr="008C0384">
        <w:rPr>
          <w:rFonts w:ascii="Arial" w:hAnsi="Arial" w:cs="Arial"/>
          <w:b w:val="0"/>
          <w:color w:val="000000"/>
          <w:sz w:val="16"/>
          <w:szCs w:val="16"/>
        </w:rPr>
        <w:t xml:space="preserve"> AR</w:t>
      </w:r>
      <w:r w:rsidRPr="00AD7828">
        <w:rPr>
          <w:rFonts w:ascii="Arial" w:hAnsi="Arial" w:cs="Arial"/>
          <w:b w:val="0"/>
          <w:color w:val="000000"/>
          <w:sz w:val="16"/>
          <w:szCs w:val="16"/>
        </w:rPr>
        <w:t>.</w:t>
      </w:r>
      <w:r w:rsidR="008C0384">
        <w:rPr>
          <w:rFonts w:ascii="Arial" w:hAnsi="Arial" w:cs="Arial"/>
          <w:b w:val="0"/>
          <w:color w:val="000000"/>
          <w:sz w:val="16"/>
          <w:szCs w:val="16"/>
        </w:rPr>
        <w:t xml:space="preserve"> (2015).</w:t>
      </w:r>
      <w:r w:rsidR="008C0384" w:rsidRPr="00AD7828">
        <w:rPr>
          <w:rStyle w:val="highlight"/>
          <w:rFonts w:ascii="Arial" w:hAnsi="Arial" w:cs="Arial"/>
          <w:b w:val="0"/>
          <w:color w:val="000000"/>
          <w:sz w:val="16"/>
          <w:szCs w:val="16"/>
        </w:rPr>
        <w:t xml:space="preserve"> </w:t>
      </w:r>
      <w:r w:rsidRPr="00AD7828">
        <w:rPr>
          <w:rStyle w:val="highlight"/>
          <w:rFonts w:ascii="Arial" w:hAnsi="Arial" w:cs="Arial"/>
          <w:b w:val="0"/>
          <w:color w:val="000000"/>
          <w:sz w:val="16"/>
          <w:szCs w:val="16"/>
        </w:rPr>
        <w:t>Examining</w:t>
      </w:r>
      <w:r w:rsidRPr="00AD7828">
        <w:rPr>
          <w:rFonts w:ascii="Arial" w:hAnsi="Arial" w:cs="Arial"/>
          <w:b w:val="0"/>
          <w:color w:val="000000"/>
          <w:sz w:val="16"/>
          <w:szCs w:val="16"/>
        </w:rPr>
        <w:t> the </w:t>
      </w:r>
      <w:r w:rsidRPr="00AD7828">
        <w:rPr>
          <w:rStyle w:val="highlight"/>
          <w:rFonts w:ascii="Arial" w:hAnsi="Arial" w:cs="Arial"/>
          <w:b w:val="0"/>
          <w:color w:val="000000"/>
          <w:sz w:val="16"/>
          <w:szCs w:val="16"/>
        </w:rPr>
        <w:t>profile</w:t>
      </w:r>
      <w:r w:rsidRPr="00AD7828">
        <w:rPr>
          <w:rFonts w:ascii="Arial" w:hAnsi="Arial" w:cs="Arial"/>
          <w:b w:val="0"/>
          <w:color w:val="000000"/>
          <w:sz w:val="16"/>
          <w:szCs w:val="16"/>
        </w:rPr>
        <w:t> of </w:t>
      </w:r>
      <w:r w:rsidRPr="00AD7828">
        <w:rPr>
          <w:rStyle w:val="highlight"/>
          <w:rFonts w:ascii="Arial" w:hAnsi="Arial" w:cs="Arial"/>
          <w:b w:val="0"/>
          <w:color w:val="000000"/>
          <w:sz w:val="16"/>
          <w:szCs w:val="16"/>
        </w:rPr>
        <w:t>high-potency</w:t>
      </w:r>
      <w:r w:rsidRPr="00AD7828">
        <w:rPr>
          <w:rFonts w:ascii="Arial" w:hAnsi="Arial" w:cs="Arial"/>
          <w:b w:val="0"/>
          <w:color w:val="000000"/>
          <w:sz w:val="16"/>
          <w:szCs w:val="16"/>
        </w:rPr>
        <w:t> </w:t>
      </w:r>
      <w:r w:rsidRPr="00AD7828">
        <w:rPr>
          <w:rStyle w:val="highlight"/>
          <w:rFonts w:ascii="Arial" w:hAnsi="Arial" w:cs="Arial"/>
          <w:b w:val="0"/>
          <w:color w:val="000000"/>
          <w:sz w:val="16"/>
          <w:szCs w:val="16"/>
        </w:rPr>
        <w:t>cannabis</w:t>
      </w:r>
      <w:r w:rsidR="008C0384">
        <w:rPr>
          <w:rFonts w:ascii="Arial" w:hAnsi="Arial" w:cs="Arial"/>
          <w:b w:val="0"/>
          <w:color w:val="000000"/>
          <w:sz w:val="16"/>
          <w:szCs w:val="16"/>
        </w:rPr>
        <w:t> and its association with severity of cannabis</w:t>
      </w:r>
      <w:r w:rsidR="008C0384" w:rsidRPr="00AD7828">
        <w:rPr>
          <w:rStyle w:val="highlight"/>
          <w:rFonts w:ascii="Arial" w:hAnsi="Arial" w:cs="Arial"/>
          <w:b w:val="0"/>
          <w:color w:val="000000"/>
          <w:sz w:val="16"/>
          <w:szCs w:val="16"/>
        </w:rPr>
        <w:t xml:space="preserve"> </w:t>
      </w:r>
      <w:r w:rsidRPr="00AD7828">
        <w:rPr>
          <w:rStyle w:val="highlight"/>
          <w:rFonts w:ascii="Arial" w:hAnsi="Arial" w:cs="Arial"/>
          <w:b w:val="0"/>
          <w:color w:val="000000"/>
          <w:sz w:val="16"/>
          <w:szCs w:val="16"/>
        </w:rPr>
        <w:t>dependence</w:t>
      </w:r>
      <w:r w:rsidRPr="00AD7828">
        <w:rPr>
          <w:rFonts w:ascii="Arial" w:hAnsi="Arial" w:cs="Arial"/>
          <w:b w:val="0"/>
          <w:color w:val="000000"/>
          <w:sz w:val="16"/>
          <w:szCs w:val="16"/>
        </w:rPr>
        <w:t xml:space="preserve">. </w:t>
      </w:r>
      <w:proofErr w:type="spellStart"/>
      <w:r w:rsidR="008C0384" w:rsidRPr="008C0384">
        <w:rPr>
          <w:rFonts w:ascii="Arial" w:hAnsi="Arial" w:cs="Arial"/>
          <w:b w:val="0"/>
          <w:i/>
          <w:color w:val="000000"/>
          <w:sz w:val="16"/>
          <w:szCs w:val="16"/>
        </w:rPr>
        <w:t>Psychol</w:t>
      </w:r>
      <w:proofErr w:type="spellEnd"/>
      <w:r w:rsidR="008C0384" w:rsidRPr="008C0384">
        <w:rPr>
          <w:rFonts w:ascii="Arial" w:hAnsi="Arial" w:cs="Arial"/>
          <w:b w:val="0"/>
          <w:i/>
          <w:color w:val="000000"/>
          <w:sz w:val="16"/>
          <w:szCs w:val="16"/>
        </w:rPr>
        <w:t xml:space="preserve"> Med.</w:t>
      </w:r>
      <w:r w:rsidRPr="008C0384">
        <w:rPr>
          <w:rFonts w:ascii="Arial" w:hAnsi="Arial" w:cs="Arial"/>
          <w:b w:val="0"/>
          <w:i/>
          <w:color w:val="000000"/>
          <w:sz w:val="16"/>
          <w:szCs w:val="16"/>
        </w:rPr>
        <w:t xml:space="preserve"> 45</w:t>
      </w:r>
      <w:r w:rsidRPr="00AD7828">
        <w:rPr>
          <w:rFonts w:ascii="Arial" w:hAnsi="Arial" w:cs="Arial"/>
          <w:b w:val="0"/>
          <w:color w:val="000000"/>
          <w:sz w:val="16"/>
          <w:szCs w:val="16"/>
        </w:rPr>
        <w:t xml:space="preserve">(15):3181-9. </w:t>
      </w:r>
      <w:proofErr w:type="spellStart"/>
      <w:r w:rsidRPr="00AD7828">
        <w:rPr>
          <w:rFonts w:ascii="Arial" w:hAnsi="Arial" w:cs="Arial"/>
          <w:b w:val="0"/>
          <w:color w:val="000000"/>
          <w:sz w:val="16"/>
          <w:szCs w:val="16"/>
        </w:rPr>
        <w:t>doi</w:t>
      </w:r>
      <w:proofErr w:type="spellEnd"/>
      <w:r w:rsidRPr="00AD7828">
        <w:rPr>
          <w:rFonts w:ascii="Arial" w:hAnsi="Arial" w:cs="Arial"/>
          <w:b w:val="0"/>
          <w:color w:val="000000"/>
          <w:sz w:val="16"/>
          <w:szCs w:val="16"/>
        </w:rPr>
        <w:t>: 10.1017/S0033291715001178.</w:t>
      </w:r>
    </w:p>
  </w:footnote>
  <w:footnote w:id="46">
    <w:p w14:paraId="4F0D1029" w14:textId="15291075" w:rsidR="00C60810" w:rsidRPr="00AD7828" w:rsidRDefault="00C60810" w:rsidP="00DC2E66">
      <w:pPr>
        <w:pStyle w:val="FootnoteText"/>
        <w:ind w:right="-720"/>
        <w:rPr>
          <w:rFonts w:ascii="Arial" w:hAnsi="Arial" w:cs="Arial"/>
          <w:sz w:val="16"/>
          <w:szCs w:val="16"/>
        </w:rPr>
      </w:pPr>
      <w:r w:rsidRPr="00AD7828">
        <w:rPr>
          <w:rStyle w:val="FootnoteReference"/>
          <w:rFonts w:ascii="Arial" w:hAnsi="Arial" w:cs="Arial"/>
          <w:sz w:val="16"/>
          <w:szCs w:val="16"/>
        </w:rPr>
        <w:footnoteRef/>
      </w:r>
      <w:r w:rsidRPr="00AD7828">
        <w:rPr>
          <w:rFonts w:ascii="Arial" w:hAnsi="Arial" w:cs="Arial"/>
          <w:sz w:val="16"/>
          <w:szCs w:val="16"/>
        </w:rPr>
        <w:t xml:space="preserve"> </w:t>
      </w:r>
      <w:proofErr w:type="spellStart"/>
      <w:r w:rsidRPr="00AD7828">
        <w:rPr>
          <w:rFonts w:ascii="Arial" w:hAnsi="Arial" w:cs="Arial"/>
          <w:sz w:val="16"/>
          <w:szCs w:val="16"/>
        </w:rPr>
        <w:t>Montanari</w:t>
      </w:r>
      <w:proofErr w:type="spellEnd"/>
      <w:r w:rsidRPr="00AD7828">
        <w:rPr>
          <w:rFonts w:ascii="Arial" w:hAnsi="Arial" w:cs="Arial"/>
          <w:sz w:val="16"/>
          <w:szCs w:val="16"/>
        </w:rPr>
        <w:t xml:space="preserve"> L, </w:t>
      </w:r>
      <w:proofErr w:type="spellStart"/>
      <w:r w:rsidRPr="00AD7828">
        <w:rPr>
          <w:rFonts w:ascii="Arial" w:hAnsi="Arial" w:cs="Arial"/>
          <w:sz w:val="16"/>
          <w:szCs w:val="16"/>
        </w:rPr>
        <w:t>Guarita</w:t>
      </w:r>
      <w:proofErr w:type="spellEnd"/>
      <w:r w:rsidRPr="00AD7828">
        <w:rPr>
          <w:rFonts w:ascii="Arial" w:hAnsi="Arial" w:cs="Arial"/>
          <w:sz w:val="16"/>
          <w:szCs w:val="16"/>
        </w:rPr>
        <w:t xml:space="preserve"> B, </w:t>
      </w:r>
      <w:proofErr w:type="spellStart"/>
      <w:r w:rsidRPr="00AD7828">
        <w:rPr>
          <w:rFonts w:ascii="Arial" w:hAnsi="Arial" w:cs="Arial"/>
          <w:sz w:val="16"/>
          <w:szCs w:val="16"/>
        </w:rPr>
        <w:t>Mounteney</w:t>
      </w:r>
      <w:proofErr w:type="spellEnd"/>
      <w:r w:rsidRPr="00AD7828">
        <w:rPr>
          <w:rFonts w:ascii="Arial" w:hAnsi="Arial" w:cs="Arial"/>
          <w:sz w:val="16"/>
          <w:szCs w:val="16"/>
        </w:rPr>
        <w:t xml:space="preserve"> J, Zipfel N, Simon R. </w:t>
      </w:r>
      <w:r w:rsidR="008C0384">
        <w:rPr>
          <w:rFonts w:ascii="Arial" w:hAnsi="Arial" w:cs="Arial"/>
          <w:sz w:val="16"/>
          <w:szCs w:val="16"/>
        </w:rPr>
        <w:t xml:space="preserve">(2017). </w:t>
      </w:r>
      <w:r w:rsidRPr="00AD7828">
        <w:rPr>
          <w:rFonts w:ascii="Arial" w:hAnsi="Arial" w:cs="Arial"/>
          <w:sz w:val="16"/>
          <w:szCs w:val="16"/>
        </w:rPr>
        <w:t xml:space="preserve">Cannabis Use among People Entering Drug Treatment in Europe: A Growing </w:t>
      </w:r>
      <w:r w:rsidR="008C0384">
        <w:rPr>
          <w:rFonts w:ascii="Arial" w:hAnsi="Arial" w:cs="Arial"/>
          <w:sz w:val="16"/>
          <w:szCs w:val="16"/>
        </w:rPr>
        <w:t xml:space="preserve">Phenomenon? </w:t>
      </w:r>
      <w:proofErr w:type="spellStart"/>
      <w:r w:rsidR="008C0384" w:rsidRPr="008C0384">
        <w:rPr>
          <w:rFonts w:ascii="Arial" w:hAnsi="Arial" w:cs="Arial"/>
          <w:i/>
          <w:sz w:val="16"/>
          <w:szCs w:val="16"/>
        </w:rPr>
        <w:t>Eur</w:t>
      </w:r>
      <w:proofErr w:type="spellEnd"/>
      <w:r w:rsidR="008C0384" w:rsidRPr="008C0384">
        <w:rPr>
          <w:rFonts w:ascii="Arial" w:hAnsi="Arial" w:cs="Arial"/>
          <w:i/>
          <w:sz w:val="16"/>
          <w:szCs w:val="16"/>
        </w:rPr>
        <w:t xml:space="preserve"> Addict Res. </w:t>
      </w:r>
      <w:r w:rsidRPr="008C0384">
        <w:rPr>
          <w:rFonts w:ascii="Arial" w:hAnsi="Arial" w:cs="Arial"/>
          <w:i/>
          <w:sz w:val="16"/>
          <w:szCs w:val="16"/>
        </w:rPr>
        <w:t>23</w:t>
      </w:r>
      <w:r w:rsidRPr="00AD7828">
        <w:rPr>
          <w:rFonts w:ascii="Arial" w:hAnsi="Arial" w:cs="Arial"/>
          <w:sz w:val="16"/>
          <w:szCs w:val="16"/>
        </w:rPr>
        <w:t>:113-121</w:t>
      </w:r>
    </w:p>
  </w:footnote>
  <w:footnote w:id="47">
    <w:p w14:paraId="4331C405" w14:textId="77777777" w:rsidR="00C60810" w:rsidRPr="00AD7828" w:rsidRDefault="00C60810" w:rsidP="00DC2E66">
      <w:pPr>
        <w:pStyle w:val="FootnoteText"/>
        <w:ind w:right="-720"/>
        <w:rPr>
          <w:rFonts w:ascii="Arial" w:hAnsi="Arial" w:cs="Arial"/>
          <w:sz w:val="16"/>
          <w:szCs w:val="16"/>
        </w:rPr>
      </w:pPr>
      <w:r w:rsidRPr="00AD7828">
        <w:rPr>
          <w:rStyle w:val="FootnoteReference"/>
          <w:rFonts w:ascii="Arial" w:hAnsi="Arial" w:cs="Arial"/>
          <w:sz w:val="16"/>
          <w:szCs w:val="16"/>
        </w:rPr>
        <w:footnoteRef/>
      </w:r>
      <w:r w:rsidRPr="00AD7828">
        <w:rPr>
          <w:rFonts w:ascii="Arial" w:hAnsi="Arial" w:cs="Arial"/>
          <w:sz w:val="16"/>
          <w:szCs w:val="16"/>
        </w:rPr>
        <w:t xml:space="preserve"> http://www.emcdda.europa.eu/countries/drug-reports/2017/netherlands/drug-laws-and-offences_en</w:t>
      </w:r>
    </w:p>
  </w:footnote>
  <w:footnote w:id="48">
    <w:p w14:paraId="2E7F841F" w14:textId="2C68B2F3" w:rsidR="00C60810" w:rsidRPr="00AD7828" w:rsidRDefault="00C60810" w:rsidP="00E5120D">
      <w:pPr>
        <w:ind w:right="-720"/>
        <w:rPr>
          <w:rFonts w:ascii="Arial" w:hAnsi="Arial" w:cs="Arial"/>
          <w:sz w:val="16"/>
          <w:szCs w:val="16"/>
        </w:rPr>
      </w:pPr>
      <w:r w:rsidRPr="00AD7828">
        <w:rPr>
          <w:rStyle w:val="FootnoteReference"/>
          <w:rFonts w:ascii="Arial" w:hAnsi="Arial" w:cs="Arial"/>
          <w:sz w:val="16"/>
          <w:szCs w:val="16"/>
        </w:rPr>
        <w:footnoteRef/>
      </w:r>
      <w:r w:rsidRPr="00AD7828">
        <w:rPr>
          <w:rFonts w:ascii="Arial" w:hAnsi="Arial" w:cs="Arial"/>
          <w:sz w:val="16"/>
          <w:szCs w:val="16"/>
        </w:rPr>
        <w:t xml:space="preserve"> IEA Discussion Paper No.90 JOINT VENTURE Estimating the Size and Potential of the UK Cannabis Market Christopher </w:t>
      </w:r>
      <w:proofErr w:type="spellStart"/>
      <w:r w:rsidRPr="00AD7828">
        <w:rPr>
          <w:rFonts w:ascii="Arial" w:hAnsi="Arial" w:cs="Arial"/>
          <w:sz w:val="16"/>
          <w:szCs w:val="16"/>
        </w:rPr>
        <w:t>Snowdon</w:t>
      </w:r>
      <w:proofErr w:type="spellEnd"/>
      <w:r w:rsidRPr="00AD7828">
        <w:rPr>
          <w:rFonts w:ascii="Arial" w:hAnsi="Arial" w:cs="Arial"/>
          <w:sz w:val="16"/>
          <w:szCs w:val="16"/>
        </w:rPr>
        <w:t xml:space="preserve"> June 2018</w:t>
      </w:r>
    </w:p>
  </w:footnote>
  <w:footnote w:id="49">
    <w:p w14:paraId="789AF76B" w14:textId="4C22B3C7" w:rsidR="00C60810" w:rsidRPr="00455A3E" w:rsidRDefault="00C60810" w:rsidP="00E5120D">
      <w:pPr>
        <w:ind w:right="-720"/>
        <w:rPr>
          <w:rFonts w:ascii="Arial" w:hAnsi="Arial" w:cs="Arial"/>
          <w:sz w:val="16"/>
          <w:szCs w:val="16"/>
        </w:rPr>
      </w:pPr>
      <w:r w:rsidRPr="00455A3E">
        <w:rPr>
          <w:rStyle w:val="FootnoteReference"/>
          <w:rFonts w:ascii="Arial" w:hAnsi="Arial" w:cs="Arial"/>
          <w:sz w:val="16"/>
          <w:szCs w:val="16"/>
        </w:rPr>
        <w:footnoteRef/>
      </w:r>
      <w:r w:rsidRPr="00455A3E">
        <w:rPr>
          <w:rFonts w:ascii="Arial" w:hAnsi="Arial" w:cs="Arial"/>
          <w:sz w:val="16"/>
          <w:szCs w:val="16"/>
        </w:rPr>
        <w:t xml:space="preserve"> McLellan, A. A., Ware, M. A., Boyd, S., Chow, G., </w:t>
      </w:r>
      <w:proofErr w:type="spellStart"/>
      <w:r w:rsidRPr="00455A3E">
        <w:rPr>
          <w:rFonts w:ascii="Arial" w:hAnsi="Arial" w:cs="Arial"/>
          <w:sz w:val="16"/>
          <w:szCs w:val="16"/>
        </w:rPr>
        <w:t>Jesso</w:t>
      </w:r>
      <w:proofErr w:type="spellEnd"/>
      <w:r w:rsidRPr="00455A3E">
        <w:rPr>
          <w:rFonts w:ascii="Arial" w:hAnsi="Arial" w:cs="Arial"/>
          <w:sz w:val="16"/>
          <w:szCs w:val="16"/>
        </w:rPr>
        <w:t>, M., Kendall, P., … Zahn, C. (2016). A Framework for the Legalization and Regulation of Cannabis in Canada (policies). Health Canada. Retrieved from https://www.canada.ca/en/health-canada/services/drugs-medication/cannabis/laws-regulations/task-force-cannabis-legalization-regulation/framework-legalization-regulation-cannabis-in-canada.html</w:t>
      </w:r>
    </w:p>
  </w:footnote>
  <w:footnote w:id="50">
    <w:p w14:paraId="73078945" w14:textId="41864128" w:rsidR="00C60810" w:rsidRPr="00AD7828" w:rsidRDefault="00C60810" w:rsidP="00E5120D">
      <w:pPr>
        <w:pStyle w:val="FootnoteText"/>
        <w:ind w:right="-720"/>
        <w:rPr>
          <w:rFonts w:ascii="Arial" w:hAnsi="Arial" w:cs="Arial"/>
          <w:sz w:val="16"/>
          <w:szCs w:val="16"/>
        </w:rPr>
      </w:pPr>
      <w:r w:rsidRPr="00AD7828">
        <w:rPr>
          <w:rStyle w:val="FootnoteReference"/>
          <w:rFonts w:ascii="Arial" w:hAnsi="Arial" w:cs="Arial"/>
          <w:sz w:val="16"/>
          <w:szCs w:val="16"/>
        </w:rPr>
        <w:footnoteRef/>
      </w:r>
      <w:r w:rsidRPr="00AD7828">
        <w:rPr>
          <w:rFonts w:ascii="Arial" w:hAnsi="Arial" w:cs="Arial"/>
          <w:sz w:val="16"/>
          <w:szCs w:val="16"/>
        </w:rPr>
        <w:t xml:space="preserve"> </w:t>
      </w:r>
      <w:proofErr w:type="spellStart"/>
      <w:r w:rsidRPr="00AD7828">
        <w:rPr>
          <w:rFonts w:ascii="Arial" w:hAnsi="Arial" w:cs="Arial"/>
          <w:sz w:val="16"/>
          <w:szCs w:val="16"/>
        </w:rPr>
        <w:t>Alzghari</w:t>
      </w:r>
      <w:proofErr w:type="spellEnd"/>
      <w:r w:rsidRPr="00AD7828">
        <w:rPr>
          <w:rFonts w:ascii="Arial" w:hAnsi="Arial" w:cs="Arial"/>
          <w:sz w:val="16"/>
          <w:szCs w:val="16"/>
        </w:rPr>
        <w:t xml:space="preserve"> SK, Fung V, </w:t>
      </w:r>
      <w:proofErr w:type="spellStart"/>
      <w:r w:rsidRPr="00AD7828">
        <w:rPr>
          <w:rFonts w:ascii="Arial" w:hAnsi="Arial" w:cs="Arial"/>
          <w:sz w:val="16"/>
          <w:szCs w:val="16"/>
        </w:rPr>
        <w:t>Rickner</w:t>
      </w:r>
      <w:proofErr w:type="spellEnd"/>
      <w:r w:rsidRPr="00AD7828">
        <w:rPr>
          <w:rFonts w:ascii="Arial" w:hAnsi="Arial" w:cs="Arial"/>
          <w:sz w:val="16"/>
          <w:szCs w:val="16"/>
        </w:rPr>
        <w:t xml:space="preserve"> SS, Chacko L, Fleming SW. </w:t>
      </w:r>
      <w:r w:rsidR="008C0384">
        <w:rPr>
          <w:rFonts w:ascii="Arial" w:hAnsi="Arial" w:cs="Arial"/>
          <w:sz w:val="16"/>
          <w:szCs w:val="16"/>
        </w:rPr>
        <w:t xml:space="preserve">(2017). </w:t>
      </w:r>
      <w:r w:rsidRPr="00AD7828">
        <w:rPr>
          <w:rFonts w:ascii="Arial" w:hAnsi="Arial" w:cs="Arial"/>
          <w:sz w:val="16"/>
          <w:szCs w:val="16"/>
        </w:rPr>
        <w:t>To Dab or Not to Dab: Rising Concerns Regarding the Toxicity of Cannabis Co</w:t>
      </w:r>
      <w:r w:rsidR="008C0384">
        <w:rPr>
          <w:rFonts w:ascii="Arial" w:hAnsi="Arial" w:cs="Arial"/>
          <w:sz w:val="16"/>
          <w:szCs w:val="16"/>
        </w:rPr>
        <w:t xml:space="preserve">ncentrates. </w:t>
      </w:r>
      <w:proofErr w:type="spellStart"/>
      <w:r w:rsidR="008C0384" w:rsidRPr="008C0384">
        <w:rPr>
          <w:rFonts w:ascii="Arial" w:hAnsi="Arial" w:cs="Arial"/>
          <w:i/>
          <w:sz w:val="16"/>
          <w:szCs w:val="16"/>
        </w:rPr>
        <w:t>Cureus</w:t>
      </w:r>
      <w:proofErr w:type="spellEnd"/>
      <w:r w:rsidR="008C0384" w:rsidRPr="008C0384">
        <w:rPr>
          <w:rFonts w:ascii="Arial" w:hAnsi="Arial" w:cs="Arial"/>
          <w:i/>
          <w:sz w:val="16"/>
          <w:szCs w:val="16"/>
        </w:rPr>
        <w:t xml:space="preserve">. </w:t>
      </w:r>
      <w:r w:rsidRPr="008C0384">
        <w:rPr>
          <w:rFonts w:ascii="Arial" w:hAnsi="Arial" w:cs="Arial"/>
          <w:i/>
          <w:sz w:val="16"/>
          <w:szCs w:val="16"/>
        </w:rPr>
        <w:t>9</w:t>
      </w:r>
      <w:r w:rsidRPr="00AD7828">
        <w:rPr>
          <w:rFonts w:ascii="Arial" w:hAnsi="Arial" w:cs="Arial"/>
          <w:sz w:val="16"/>
          <w:szCs w:val="16"/>
        </w:rPr>
        <w:t>(9</w:t>
      </w:r>
      <w:proofErr w:type="gramStart"/>
      <w:r w:rsidRPr="00AD7828">
        <w:rPr>
          <w:rFonts w:ascii="Arial" w:hAnsi="Arial" w:cs="Arial"/>
          <w:sz w:val="16"/>
          <w:szCs w:val="16"/>
        </w:rPr>
        <w:t>):e</w:t>
      </w:r>
      <w:proofErr w:type="gramEnd"/>
      <w:r w:rsidRPr="00AD7828">
        <w:rPr>
          <w:rFonts w:ascii="Arial" w:hAnsi="Arial" w:cs="Arial"/>
          <w:sz w:val="16"/>
          <w:szCs w:val="16"/>
        </w:rPr>
        <w:t xml:space="preserve">1676. </w:t>
      </w:r>
      <w:proofErr w:type="spellStart"/>
      <w:r w:rsidRPr="00AD7828">
        <w:rPr>
          <w:rFonts w:ascii="Arial" w:hAnsi="Arial" w:cs="Arial"/>
          <w:sz w:val="16"/>
          <w:szCs w:val="16"/>
        </w:rPr>
        <w:t>doi</w:t>
      </w:r>
      <w:proofErr w:type="spellEnd"/>
      <w:r w:rsidRPr="00AD7828">
        <w:rPr>
          <w:rFonts w:ascii="Arial" w:hAnsi="Arial" w:cs="Arial"/>
          <w:sz w:val="16"/>
          <w:szCs w:val="16"/>
        </w:rPr>
        <w:t>: 10.7759/cureus.1676.</w:t>
      </w:r>
    </w:p>
  </w:footnote>
  <w:footnote w:id="51">
    <w:p w14:paraId="715A7B48" w14:textId="7A7CCF44" w:rsidR="00C60810" w:rsidRPr="00F03390" w:rsidRDefault="00C60810" w:rsidP="00E5120D">
      <w:pPr>
        <w:pStyle w:val="FootnoteText"/>
        <w:ind w:right="-720"/>
        <w:rPr>
          <w:rFonts w:ascii="Arial" w:hAnsi="Arial" w:cs="Arial"/>
          <w:sz w:val="16"/>
          <w:szCs w:val="16"/>
          <w:lang w:val="fr-FR"/>
        </w:rPr>
      </w:pPr>
      <w:r w:rsidRPr="00AD7828">
        <w:rPr>
          <w:rStyle w:val="FootnoteReference"/>
          <w:rFonts w:ascii="Arial" w:hAnsi="Arial" w:cs="Arial"/>
          <w:sz w:val="16"/>
          <w:szCs w:val="16"/>
        </w:rPr>
        <w:footnoteRef/>
      </w:r>
      <w:r w:rsidRPr="00AD7828">
        <w:rPr>
          <w:rFonts w:ascii="Arial" w:hAnsi="Arial" w:cs="Arial"/>
          <w:sz w:val="16"/>
          <w:szCs w:val="16"/>
        </w:rPr>
        <w:t xml:space="preserve"> </w:t>
      </w:r>
      <w:proofErr w:type="spellStart"/>
      <w:r w:rsidRPr="00AD7828">
        <w:rPr>
          <w:rFonts w:ascii="Arial" w:hAnsi="Arial" w:cs="Arial"/>
          <w:sz w:val="16"/>
          <w:szCs w:val="16"/>
        </w:rPr>
        <w:t>Sagar</w:t>
      </w:r>
      <w:proofErr w:type="spellEnd"/>
      <w:r w:rsidRPr="00AD7828">
        <w:rPr>
          <w:rFonts w:ascii="Arial" w:hAnsi="Arial" w:cs="Arial"/>
          <w:sz w:val="16"/>
          <w:szCs w:val="16"/>
        </w:rPr>
        <w:t xml:space="preserve"> KA, Lambros AM, Dahlgren MK, Smith RT, Gruber SA. (2018). Made from concentrate? A national web survey assessing dab use in the United States. </w:t>
      </w:r>
      <w:r w:rsidRPr="00F03390">
        <w:rPr>
          <w:rFonts w:ascii="Arial" w:hAnsi="Arial" w:cs="Arial"/>
          <w:i/>
          <w:sz w:val="16"/>
          <w:szCs w:val="16"/>
          <w:lang w:val="fr-FR"/>
        </w:rPr>
        <w:t xml:space="preserve">Drug </w:t>
      </w:r>
      <w:proofErr w:type="spellStart"/>
      <w:r w:rsidRPr="00F03390">
        <w:rPr>
          <w:rFonts w:ascii="Arial" w:hAnsi="Arial" w:cs="Arial"/>
          <w:i/>
          <w:sz w:val="16"/>
          <w:szCs w:val="16"/>
          <w:lang w:val="fr-FR"/>
        </w:rPr>
        <w:t>Alcohol</w:t>
      </w:r>
      <w:proofErr w:type="spellEnd"/>
      <w:r w:rsidRPr="00F03390">
        <w:rPr>
          <w:rFonts w:ascii="Arial" w:hAnsi="Arial" w:cs="Arial"/>
          <w:i/>
          <w:sz w:val="16"/>
          <w:szCs w:val="16"/>
          <w:lang w:val="fr-FR"/>
        </w:rPr>
        <w:t xml:space="preserve"> </w:t>
      </w:r>
      <w:proofErr w:type="spellStart"/>
      <w:r w:rsidRPr="00F03390">
        <w:rPr>
          <w:rFonts w:ascii="Arial" w:hAnsi="Arial" w:cs="Arial"/>
          <w:i/>
          <w:sz w:val="16"/>
          <w:szCs w:val="16"/>
          <w:lang w:val="fr-FR"/>
        </w:rPr>
        <w:t>Depend</w:t>
      </w:r>
      <w:proofErr w:type="spellEnd"/>
      <w:r w:rsidRPr="00F03390">
        <w:rPr>
          <w:rFonts w:ascii="Arial" w:hAnsi="Arial" w:cs="Arial"/>
          <w:i/>
          <w:sz w:val="16"/>
          <w:szCs w:val="16"/>
          <w:lang w:val="fr-FR"/>
        </w:rPr>
        <w:t xml:space="preserve">. </w:t>
      </w:r>
      <w:proofErr w:type="gramStart"/>
      <w:r w:rsidRPr="00F03390">
        <w:rPr>
          <w:rFonts w:ascii="Arial" w:hAnsi="Arial" w:cs="Arial"/>
          <w:i/>
          <w:sz w:val="16"/>
          <w:szCs w:val="16"/>
          <w:lang w:val="fr-FR"/>
        </w:rPr>
        <w:t>190</w:t>
      </w:r>
      <w:r w:rsidRPr="00F03390">
        <w:rPr>
          <w:rFonts w:ascii="Arial" w:hAnsi="Arial" w:cs="Arial"/>
          <w:sz w:val="16"/>
          <w:szCs w:val="16"/>
          <w:lang w:val="fr-FR"/>
        </w:rPr>
        <w:t>:</w:t>
      </w:r>
      <w:proofErr w:type="gramEnd"/>
      <w:r w:rsidRPr="00F03390">
        <w:rPr>
          <w:rFonts w:ascii="Arial" w:hAnsi="Arial" w:cs="Arial"/>
          <w:sz w:val="16"/>
          <w:szCs w:val="16"/>
          <w:lang w:val="fr-FR"/>
        </w:rPr>
        <w:t xml:space="preserve">133-142. </w:t>
      </w:r>
      <w:proofErr w:type="spellStart"/>
      <w:proofErr w:type="gramStart"/>
      <w:r w:rsidRPr="00F03390">
        <w:rPr>
          <w:rFonts w:ascii="Arial" w:hAnsi="Arial" w:cs="Arial"/>
          <w:sz w:val="16"/>
          <w:szCs w:val="16"/>
          <w:lang w:val="fr-FR"/>
        </w:rPr>
        <w:t>doi</w:t>
      </w:r>
      <w:proofErr w:type="spellEnd"/>
      <w:r w:rsidRPr="00F03390">
        <w:rPr>
          <w:rFonts w:ascii="Arial" w:hAnsi="Arial" w:cs="Arial"/>
          <w:sz w:val="16"/>
          <w:szCs w:val="16"/>
          <w:lang w:val="fr-FR"/>
        </w:rPr>
        <w:t>:</w:t>
      </w:r>
      <w:proofErr w:type="gramEnd"/>
      <w:r w:rsidRPr="00F03390">
        <w:rPr>
          <w:rFonts w:ascii="Arial" w:hAnsi="Arial" w:cs="Arial"/>
          <w:sz w:val="16"/>
          <w:szCs w:val="16"/>
          <w:lang w:val="fr-FR"/>
        </w:rPr>
        <w:t xml:space="preserve"> 10</w:t>
      </w:r>
      <w:r w:rsidR="008C0384" w:rsidRPr="00F03390">
        <w:rPr>
          <w:rFonts w:ascii="Arial" w:hAnsi="Arial" w:cs="Arial"/>
          <w:sz w:val="16"/>
          <w:szCs w:val="16"/>
          <w:lang w:val="fr-FR"/>
        </w:rPr>
        <w:t>.1016/j.drugalcdep.2018.05.022.</w:t>
      </w:r>
    </w:p>
  </w:footnote>
  <w:footnote w:id="52">
    <w:p w14:paraId="1A030F4B" w14:textId="427FA5F9" w:rsidR="00C60810" w:rsidRPr="008C0384" w:rsidRDefault="00C60810" w:rsidP="00E5120D">
      <w:pPr>
        <w:pStyle w:val="FootnoteText"/>
        <w:ind w:right="-720"/>
        <w:rPr>
          <w:rFonts w:ascii="Arial" w:hAnsi="Arial" w:cs="Arial"/>
          <w:sz w:val="16"/>
          <w:szCs w:val="16"/>
        </w:rPr>
      </w:pPr>
      <w:r w:rsidRPr="00AD7828">
        <w:rPr>
          <w:rStyle w:val="FootnoteReference"/>
          <w:rFonts w:ascii="Arial" w:hAnsi="Arial" w:cs="Arial"/>
          <w:sz w:val="16"/>
          <w:szCs w:val="16"/>
        </w:rPr>
        <w:footnoteRef/>
      </w:r>
      <w:r w:rsidR="008C0384" w:rsidRPr="00F03390">
        <w:rPr>
          <w:rFonts w:ascii="Arial" w:hAnsi="Arial" w:cs="Arial"/>
          <w:sz w:val="16"/>
          <w:szCs w:val="16"/>
          <w:lang w:val="fr-FR"/>
        </w:rPr>
        <w:t xml:space="preserve"> Pierre JM, </w:t>
      </w:r>
      <w:proofErr w:type="spellStart"/>
      <w:r w:rsidR="008C0384" w:rsidRPr="00F03390">
        <w:rPr>
          <w:rFonts w:ascii="Arial" w:hAnsi="Arial" w:cs="Arial"/>
          <w:sz w:val="16"/>
          <w:szCs w:val="16"/>
          <w:lang w:val="fr-FR"/>
        </w:rPr>
        <w:t>Gandal</w:t>
      </w:r>
      <w:proofErr w:type="spellEnd"/>
      <w:r w:rsidR="008C0384" w:rsidRPr="00F03390">
        <w:rPr>
          <w:rFonts w:ascii="Arial" w:hAnsi="Arial" w:cs="Arial"/>
          <w:sz w:val="16"/>
          <w:szCs w:val="16"/>
          <w:lang w:val="fr-FR"/>
        </w:rPr>
        <w:t xml:space="preserve"> M, Son M</w:t>
      </w:r>
      <w:r w:rsidRPr="00F03390">
        <w:rPr>
          <w:rFonts w:ascii="Arial" w:hAnsi="Arial" w:cs="Arial"/>
          <w:sz w:val="16"/>
          <w:szCs w:val="16"/>
          <w:lang w:val="fr-FR"/>
        </w:rPr>
        <w:t xml:space="preserve">, (2016). </w:t>
      </w:r>
      <w:r w:rsidRPr="00AD7828">
        <w:rPr>
          <w:rFonts w:ascii="Arial" w:hAnsi="Arial" w:cs="Arial"/>
          <w:sz w:val="16"/>
          <w:szCs w:val="16"/>
        </w:rPr>
        <w:t>Cannabis-induced psychosis associate</w:t>
      </w:r>
      <w:r w:rsidR="008C0384">
        <w:rPr>
          <w:rFonts w:ascii="Arial" w:hAnsi="Arial" w:cs="Arial"/>
          <w:sz w:val="16"/>
          <w:szCs w:val="16"/>
        </w:rPr>
        <w:t xml:space="preserve">d with high potency "wax dabs". </w:t>
      </w:r>
      <w:proofErr w:type="spellStart"/>
      <w:r w:rsidR="008C0384" w:rsidRPr="008C0384">
        <w:rPr>
          <w:rFonts w:ascii="Arial" w:hAnsi="Arial" w:cs="Arial"/>
          <w:i/>
          <w:sz w:val="16"/>
          <w:szCs w:val="16"/>
        </w:rPr>
        <w:t>Schizophr</w:t>
      </w:r>
      <w:proofErr w:type="spellEnd"/>
      <w:r w:rsidR="008C0384" w:rsidRPr="008C0384">
        <w:rPr>
          <w:rFonts w:ascii="Arial" w:hAnsi="Arial" w:cs="Arial"/>
          <w:i/>
          <w:sz w:val="16"/>
          <w:szCs w:val="16"/>
        </w:rPr>
        <w:t xml:space="preserve"> Res. </w:t>
      </w:r>
      <w:r w:rsidRPr="008C0384">
        <w:rPr>
          <w:rFonts w:ascii="Arial" w:hAnsi="Arial" w:cs="Arial"/>
          <w:i/>
          <w:sz w:val="16"/>
          <w:szCs w:val="16"/>
        </w:rPr>
        <w:t>172</w:t>
      </w:r>
      <w:r w:rsidRPr="00AD7828">
        <w:rPr>
          <w:rFonts w:ascii="Arial" w:hAnsi="Arial" w:cs="Arial"/>
          <w:sz w:val="16"/>
          <w:szCs w:val="16"/>
        </w:rPr>
        <w:t xml:space="preserve">(1-3):211-2. </w:t>
      </w:r>
      <w:proofErr w:type="spellStart"/>
      <w:r w:rsidRPr="00AD7828">
        <w:rPr>
          <w:rFonts w:ascii="Arial" w:hAnsi="Arial" w:cs="Arial"/>
          <w:sz w:val="16"/>
          <w:szCs w:val="16"/>
        </w:rPr>
        <w:t>do</w:t>
      </w:r>
      <w:r w:rsidR="008C0384">
        <w:rPr>
          <w:rFonts w:ascii="Arial" w:hAnsi="Arial" w:cs="Arial"/>
          <w:sz w:val="16"/>
          <w:szCs w:val="16"/>
        </w:rPr>
        <w:t>i</w:t>
      </w:r>
      <w:proofErr w:type="spellEnd"/>
      <w:r w:rsidR="008C0384">
        <w:rPr>
          <w:rFonts w:ascii="Arial" w:hAnsi="Arial" w:cs="Arial"/>
          <w:sz w:val="16"/>
          <w:szCs w:val="16"/>
        </w:rPr>
        <w:t>: 10.1016/j.schres.2016.01.056</w:t>
      </w:r>
      <w:r w:rsidRPr="00AD7828">
        <w:rPr>
          <w:rFonts w:ascii="Arial" w:hAnsi="Arial" w:cs="Arial"/>
          <w:sz w:val="16"/>
          <w:szCs w:val="16"/>
        </w:rPr>
        <w:t>.</w:t>
      </w:r>
    </w:p>
  </w:footnote>
  <w:footnote w:id="53">
    <w:p w14:paraId="60943B66" w14:textId="63751376" w:rsidR="00C60810" w:rsidRPr="00DC1245" w:rsidRDefault="00C60810" w:rsidP="00E5120D">
      <w:pPr>
        <w:pStyle w:val="FootnoteText"/>
        <w:ind w:right="-720"/>
        <w:rPr>
          <w:rFonts w:ascii="Arial" w:hAnsi="Arial" w:cs="Arial"/>
          <w:sz w:val="16"/>
          <w:szCs w:val="16"/>
        </w:rPr>
      </w:pPr>
      <w:r w:rsidRPr="00255FF2">
        <w:rPr>
          <w:rStyle w:val="FootnoteReference"/>
        </w:rPr>
        <w:footnoteRef/>
      </w:r>
      <w:r w:rsidRPr="00DC1245">
        <w:rPr>
          <w:rFonts w:ascii="Arial" w:hAnsi="Arial" w:cs="Arial"/>
          <w:sz w:val="16"/>
          <w:szCs w:val="16"/>
        </w:rPr>
        <w:t xml:space="preserve"> Surgeon General. </w:t>
      </w:r>
      <w:r w:rsidR="00E5120D">
        <w:rPr>
          <w:rFonts w:ascii="Arial" w:hAnsi="Arial" w:cs="Arial"/>
          <w:sz w:val="16"/>
          <w:szCs w:val="16"/>
        </w:rPr>
        <w:t xml:space="preserve">(2012). </w:t>
      </w:r>
      <w:r w:rsidRPr="00DC1245">
        <w:rPr>
          <w:rFonts w:ascii="Arial" w:hAnsi="Arial" w:cs="Arial"/>
          <w:i/>
          <w:sz w:val="16"/>
          <w:szCs w:val="16"/>
        </w:rPr>
        <w:t>Preventing Tobacco Use Among Youth and Young Adults: A Report of the Surgeon General</w:t>
      </w:r>
      <w:r w:rsidRPr="00DC1245">
        <w:rPr>
          <w:rFonts w:ascii="Arial" w:hAnsi="Arial" w:cs="Arial"/>
          <w:sz w:val="16"/>
          <w:szCs w:val="16"/>
        </w:rPr>
        <w:t>. Department of Health and Human Services</w:t>
      </w:r>
      <w:r w:rsidR="00E5120D">
        <w:rPr>
          <w:rFonts w:ascii="Arial" w:hAnsi="Arial" w:cs="Arial"/>
          <w:sz w:val="16"/>
          <w:szCs w:val="16"/>
        </w:rPr>
        <w:t>.</w:t>
      </w:r>
    </w:p>
  </w:footnote>
  <w:footnote w:id="54">
    <w:p w14:paraId="31B7A321" w14:textId="260B7A6A" w:rsidR="00C60810" w:rsidRPr="00DC1245" w:rsidRDefault="00C60810" w:rsidP="00E5120D">
      <w:pPr>
        <w:pStyle w:val="FootnoteText"/>
        <w:ind w:right="-720"/>
        <w:rPr>
          <w:rFonts w:ascii="Arial" w:hAnsi="Arial" w:cs="Arial"/>
          <w:sz w:val="16"/>
          <w:szCs w:val="16"/>
        </w:rPr>
      </w:pPr>
      <w:r w:rsidRPr="00255FF2">
        <w:rPr>
          <w:rStyle w:val="FootnoteReference"/>
        </w:rPr>
        <w:footnoteRef/>
      </w:r>
      <w:r w:rsidRPr="00DC1245">
        <w:rPr>
          <w:rFonts w:ascii="Arial" w:hAnsi="Arial" w:cs="Arial"/>
          <w:sz w:val="16"/>
          <w:szCs w:val="16"/>
        </w:rPr>
        <w:t xml:space="preserve"> Carpenter CM, Wayne GF, </w:t>
      </w:r>
      <w:proofErr w:type="spellStart"/>
      <w:r w:rsidRPr="00DC1245">
        <w:rPr>
          <w:rFonts w:ascii="Arial" w:hAnsi="Arial" w:cs="Arial"/>
          <w:sz w:val="16"/>
          <w:szCs w:val="16"/>
        </w:rPr>
        <w:t>Pauly</w:t>
      </w:r>
      <w:proofErr w:type="spellEnd"/>
      <w:r w:rsidRPr="00DC1245">
        <w:rPr>
          <w:rFonts w:ascii="Arial" w:hAnsi="Arial" w:cs="Arial"/>
          <w:sz w:val="16"/>
          <w:szCs w:val="16"/>
        </w:rPr>
        <w:t xml:space="preserve"> JL, Koh HK, Connolly GN. </w:t>
      </w:r>
      <w:r w:rsidR="00E5120D">
        <w:rPr>
          <w:rFonts w:ascii="Arial" w:hAnsi="Arial" w:cs="Arial"/>
          <w:sz w:val="16"/>
          <w:szCs w:val="16"/>
        </w:rPr>
        <w:t xml:space="preserve">(2005). </w:t>
      </w:r>
      <w:r w:rsidRPr="00DC1245">
        <w:rPr>
          <w:rFonts w:ascii="Arial" w:hAnsi="Arial" w:cs="Arial"/>
          <w:sz w:val="16"/>
          <w:szCs w:val="16"/>
        </w:rPr>
        <w:t xml:space="preserve">New cigarette brands with flavors that appeal to youth: tobacco marketing strategies. </w:t>
      </w:r>
      <w:r w:rsidRPr="00DC1245">
        <w:rPr>
          <w:rFonts w:ascii="Arial" w:hAnsi="Arial" w:cs="Arial"/>
          <w:i/>
          <w:sz w:val="16"/>
          <w:szCs w:val="16"/>
        </w:rPr>
        <w:t xml:space="preserve">Health </w:t>
      </w:r>
      <w:proofErr w:type="spellStart"/>
      <w:r w:rsidRPr="00DC1245">
        <w:rPr>
          <w:rFonts w:ascii="Arial" w:hAnsi="Arial" w:cs="Arial"/>
          <w:i/>
          <w:sz w:val="16"/>
          <w:szCs w:val="16"/>
        </w:rPr>
        <w:t>Aff</w:t>
      </w:r>
      <w:proofErr w:type="spellEnd"/>
      <w:r w:rsidRPr="00DC1245">
        <w:rPr>
          <w:rFonts w:ascii="Arial" w:hAnsi="Arial" w:cs="Arial"/>
          <w:i/>
          <w:sz w:val="16"/>
          <w:szCs w:val="16"/>
        </w:rPr>
        <w:t xml:space="preserve"> (Millwood)</w:t>
      </w:r>
      <w:r w:rsidRPr="00DC1245">
        <w:rPr>
          <w:rFonts w:ascii="Arial" w:hAnsi="Arial" w:cs="Arial"/>
          <w:sz w:val="16"/>
          <w:szCs w:val="16"/>
        </w:rPr>
        <w:t>.</w:t>
      </w:r>
      <w:r w:rsidR="00E5120D">
        <w:rPr>
          <w:rFonts w:ascii="Arial" w:hAnsi="Arial" w:cs="Arial"/>
          <w:sz w:val="16"/>
          <w:szCs w:val="16"/>
        </w:rPr>
        <w:t xml:space="preserve"> </w:t>
      </w:r>
      <w:r w:rsidRPr="00E5120D">
        <w:rPr>
          <w:rFonts w:ascii="Arial" w:hAnsi="Arial" w:cs="Arial"/>
          <w:i/>
          <w:sz w:val="16"/>
          <w:szCs w:val="16"/>
        </w:rPr>
        <w:t>24</w:t>
      </w:r>
      <w:r w:rsidRPr="00DC1245">
        <w:rPr>
          <w:rFonts w:ascii="Arial" w:hAnsi="Arial" w:cs="Arial"/>
          <w:sz w:val="16"/>
          <w:szCs w:val="16"/>
        </w:rPr>
        <w:t>(6):1601-1610.</w:t>
      </w:r>
    </w:p>
  </w:footnote>
  <w:footnote w:id="55">
    <w:p w14:paraId="6CF9F21E" w14:textId="22655346" w:rsidR="00C60810" w:rsidRPr="00DC1245" w:rsidRDefault="00C60810" w:rsidP="00E5120D">
      <w:pPr>
        <w:pStyle w:val="FootnoteText"/>
        <w:ind w:right="-720"/>
        <w:rPr>
          <w:rFonts w:ascii="Arial" w:hAnsi="Arial" w:cs="Arial"/>
          <w:sz w:val="16"/>
          <w:szCs w:val="16"/>
        </w:rPr>
      </w:pPr>
      <w:r w:rsidRPr="00255FF2">
        <w:rPr>
          <w:rStyle w:val="FootnoteReference"/>
        </w:rPr>
        <w:footnoteRef/>
      </w:r>
      <w:r w:rsidRPr="00DC1245">
        <w:rPr>
          <w:rFonts w:ascii="Arial" w:hAnsi="Arial" w:cs="Arial"/>
          <w:sz w:val="16"/>
          <w:szCs w:val="16"/>
        </w:rPr>
        <w:t xml:space="preserve"> </w:t>
      </w:r>
      <w:proofErr w:type="spellStart"/>
      <w:r w:rsidRPr="00DC1245">
        <w:rPr>
          <w:rFonts w:ascii="Arial" w:hAnsi="Arial" w:cs="Arial"/>
          <w:sz w:val="16"/>
          <w:szCs w:val="16"/>
        </w:rPr>
        <w:t>Villanti</w:t>
      </w:r>
      <w:proofErr w:type="spellEnd"/>
      <w:r w:rsidRPr="00DC1245">
        <w:rPr>
          <w:rFonts w:ascii="Arial" w:hAnsi="Arial" w:cs="Arial"/>
          <w:sz w:val="16"/>
          <w:szCs w:val="16"/>
        </w:rPr>
        <w:t xml:space="preserve"> AC, Johnson AL, Ambrose BK, et al. </w:t>
      </w:r>
      <w:r w:rsidR="00E5120D">
        <w:rPr>
          <w:rFonts w:ascii="Arial" w:hAnsi="Arial" w:cs="Arial"/>
          <w:sz w:val="16"/>
          <w:szCs w:val="16"/>
        </w:rPr>
        <w:t xml:space="preserve">(2017). </w:t>
      </w:r>
      <w:r w:rsidRPr="00DC1245">
        <w:rPr>
          <w:rFonts w:ascii="Arial" w:hAnsi="Arial" w:cs="Arial"/>
          <w:sz w:val="16"/>
          <w:szCs w:val="16"/>
        </w:rPr>
        <w:t>Flavored Tobacco Product Use in Youth and Adults: Findings From the First Wave of the PATH Study (2013-2014</w:t>
      </w:r>
      <w:proofErr w:type="gramStart"/>
      <w:r w:rsidRPr="00DC1245">
        <w:rPr>
          <w:rFonts w:ascii="Arial" w:hAnsi="Arial" w:cs="Arial"/>
          <w:sz w:val="16"/>
          <w:szCs w:val="16"/>
        </w:rPr>
        <w:t>).</w:t>
      </w:r>
      <w:r w:rsidRPr="00DC1245">
        <w:rPr>
          <w:rFonts w:ascii="Arial" w:hAnsi="Arial" w:cs="Arial"/>
          <w:i/>
          <w:sz w:val="16"/>
          <w:szCs w:val="16"/>
        </w:rPr>
        <w:t>Am</w:t>
      </w:r>
      <w:proofErr w:type="gramEnd"/>
      <w:r w:rsidRPr="00DC1245">
        <w:rPr>
          <w:rFonts w:ascii="Arial" w:hAnsi="Arial" w:cs="Arial"/>
          <w:i/>
          <w:sz w:val="16"/>
          <w:szCs w:val="16"/>
        </w:rPr>
        <w:t xml:space="preserve"> J. </w:t>
      </w:r>
      <w:proofErr w:type="spellStart"/>
      <w:r w:rsidRPr="00DC1245">
        <w:rPr>
          <w:rFonts w:ascii="Arial" w:hAnsi="Arial" w:cs="Arial"/>
          <w:i/>
          <w:sz w:val="16"/>
          <w:szCs w:val="16"/>
        </w:rPr>
        <w:t>Prev</w:t>
      </w:r>
      <w:proofErr w:type="spellEnd"/>
      <w:r w:rsidRPr="00DC1245">
        <w:rPr>
          <w:rFonts w:ascii="Arial" w:hAnsi="Arial" w:cs="Arial"/>
          <w:i/>
          <w:sz w:val="16"/>
          <w:szCs w:val="16"/>
        </w:rPr>
        <w:t xml:space="preserve"> Med</w:t>
      </w:r>
      <w:r w:rsidRPr="00DC1245">
        <w:rPr>
          <w:rFonts w:ascii="Arial" w:hAnsi="Arial" w:cs="Arial"/>
          <w:sz w:val="16"/>
          <w:szCs w:val="16"/>
        </w:rPr>
        <w:t xml:space="preserve">. </w:t>
      </w:r>
      <w:r w:rsidRPr="00E5120D">
        <w:rPr>
          <w:rFonts w:ascii="Arial" w:hAnsi="Arial" w:cs="Arial"/>
          <w:i/>
          <w:sz w:val="16"/>
          <w:szCs w:val="16"/>
        </w:rPr>
        <w:t>53</w:t>
      </w:r>
      <w:r w:rsidRPr="00DC1245">
        <w:rPr>
          <w:rFonts w:ascii="Arial" w:hAnsi="Arial" w:cs="Arial"/>
          <w:sz w:val="16"/>
          <w:szCs w:val="16"/>
        </w:rPr>
        <w:t>(2): 139-151.</w:t>
      </w:r>
    </w:p>
  </w:footnote>
  <w:footnote w:id="56">
    <w:p w14:paraId="4BCA4D87" w14:textId="29904557" w:rsidR="00C60810" w:rsidRPr="00DC1245" w:rsidRDefault="00C60810" w:rsidP="00E5120D">
      <w:pPr>
        <w:pStyle w:val="FootnoteText"/>
        <w:ind w:right="-720"/>
        <w:rPr>
          <w:rFonts w:ascii="Arial" w:hAnsi="Arial" w:cs="Arial"/>
          <w:sz w:val="16"/>
          <w:szCs w:val="16"/>
        </w:rPr>
      </w:pPr>
      <w:r w:rsidRPr="00255FF2">
        <w:rPr>
          <w:rStyle w:val="FootnoteReference"/>
        </w:rPr>
        <w:footnoteRef/>
      </w:r>
      <w:r w:rsidRPr="00DC1245">
        <w:rPr>
          <w:rFonts w:ascii="Arial" w:hAnsi="Arial" w:cs="Arial"/>
          <w:sz w:val="16"/>
          <w:szCs w:val="16"/>
        </w:rPr>
        <w:t xml:space="preserve"> </w:t>
      </w:r>
      <w:proofErr w:type="spellStart"/>
      <w:r w:rsidRPr="00DC1245">
        <w:rPr>
          <w:rFonts w:ascii="Arial" w:hAnsi="Arial" w:cs="Arial"/>
          <w:sz w:val="16"/>
          <w:szCs w:val="16"/>
        </w:rPr>
        <w:t>Villanti</w:t>
      </w:r>
      <w:proofErr w:type="spellEnd"/>
      <w:r w:rsidRPr="00DC1245">
        <w:rPr>
          <w:rFonts w:ascii="Arial" w:hAnsi="Arial" w:cs="Arial"/>
          <w:sz w:val="16"/>
          <w:szCs w:val="16"/>
        </w:rPr>
        <w:t xml:space="preserve"> AC, Richardson A, Vallone DM, </w:t>
      </w:r>
      <w:proofErr w:type="spellStart"/>
      <w:r w:rsidRPr="00DC1245">
        <w:rPr>
          <w:rFonts w:ascii="Arial" w:hAnsi="Arial" w:cs="Arial"/>
          <w:sz w:val="16"/>
          <w:szCs w:val="16"/>
        </w:rPr>
        <w:t>Rath</w:t>
      </w:r>
      <w:proofErr w:type="spellEnd"/>
      <w:r w:rsidRPr="00DC1245">
        <w:rPr>
          <w:rFonts w:ascii="Arial" w:hAnsi="Arial" w:cs="Arial"/>
          <w:sz w:val="16"/>
          <w:szCs w:val="16"/>
        </w:rPr>
        <w:t xml:space="preserve"> JM. Flavored tobacco product use among U.S. young adults. </w:t>
      </w:r>
      <w:r w:rsidR="00E5120D">
        <w:rPr>
          <w:rFonts w:ascii="Arial" w:hAnsi="Arial" w:cs="Arial"/>
          <w:sz w:val="16"/>
          <w:szCs w:val="16"/>
        </w:rPr>
        <w:t xml:space="preserve">(2013). </w:t>
      </w:r>
      <w:r w:rsidRPr="00DC1245">
        <w:rPr>
          <w:rFonts w:ascii="Arial" w:hAnsi="Arial" w:cs="Arial"/>
          <w:i/>
          <w:sz w:val="16"/>
          <w:szCs w:val="16"/>
        </w:rPr>
        <w:t xml:space="preserve">Am J </w:t>
      </w:r>
      <w:proofErr w:type="spellStart"/>
      <w:r w:rsidRPr="00DC1245">
        <w:rPr>
          <w:rFonts w:ascii="Arial" w:hAnsi="Arial" w:cs="Arial"/>
          <w:i/>
          <w:sz w:val="16"/>
          <w:szCs w:val="16"/>
        </w:rPr>
        <w:t>Prev</w:t>
      </w:r>
      <w:proofErr w:type="spellEnd"/>
      <w:r w:rsidRPr="00DC1245">
        <w:rPr>
          <w:rFonts w:ascii="Arial" w:hAnsi="Arial" w:cs="Arial"/>
          <w:i/>
          <w:sz w:val="16"/>
          <w:szCs w:val="16"/>
        </w:rPr>
        <w:t xml:space="preserve"> Med.</w:t>
      </w:r>
      <w:r w:rsidRPr="00DC1245">
        <w:rPr>
          <w:rFonts w:ascii="Arial" w:hAnsi="Arial" w:cs="Arial"/>
          <w:sz w:val="16"/>
          <w:szCs w:val="16"/>
        </w:rPr>
        <w:t xml:space="preserve"> </w:t>
      </w:r>
      <w:r w:rsidRPr="00E5120D">
        <w:rPr>
          <w:rFonts w:ascii="Arial" w:hAnsi="Arial" w:cs="Arial"/>
          <w:i/>
          <w:sz w:val="16"/>
          <w:szCs w:val="16"/>
        </w:rPr>
        <w:t>44</w:t>
      </w:r>
      <w:r w:rsidRPr="00DC1245">
        <w:rPr>
          <w:rFonts w:ascii="Arial" w:hAnsi="Arial" w:cs="Arial"/>
          <w:sz w:val="16"/>
          <w:szCs w:val="16"/>
        </w:rPr>
        <w:t>(4)388-391.</w:t>
      </w:r>
    </w:p>
  </w:footnote>
  <w:footnote w:id="57">
    <w:p w14:paraId="2B0D0BC9" w14:textId="3B45769A" w:rsidR="00C60810" w:rsidRPr="00C60810" w:rsidRDefault="00C60810" w:rsidP="00E5120D">
      <w:pPr>
        <w:pStyle w:val="FootnoteText"/>
        <w:ind w:right="-720"/>
        <w:rPr>
          <w:rFonts w:ascii="Arial" w:hAnsi="Arial" w:cs="Arial"/>
          <w:sz w:val="16"/>
          <w:szCs w:val="16"/>
        </w:rPr>
      </w:pPr>
      <w:r w:rsidRPr="00C60810">
        <w:rPr>
          <w:rStyle w:val="FootnoteReference"/>
          <w:rFonts w:ascii="Arial" w:hAnsi="Arial" w:cs="Arial"/>
          <w:sz w:val="16"/>
          <w:szCs w:val="16"/>
        </w:rPr>
        <w:footnoteRef/>
      </w:r>
      <w:r w:rsidRPr="00C60810">
        <w:rPr>
          <w:rFonts w:ascii="Arial" w:hAnsi="Arial" w:cs="Arial"/>
          <w:sz w:val="16"/>
          <w:szCs w:val="16"/>
        </w:rPr>
        <w:t xml:space="preserve"> Ambrose BK, Day HR, </w:t>
      </w:r>
      <w:proofErr w:type="spellStart"/>
      <w:r w:rsidRPr="00C60810">
        <w:rPr>
          <w:rFonts w:ascii="Arial" w:hAnsi="Arial" w:cs="Arial"/>
          <w:sz w:val="16"/>
          <w:szCs w:val="16"/>
        </w:rPr>
        <w:t>Rostron</w:t>
      </w:r>
      <w:proofErr w:type="spellEnd"/>
      <w:r w:rsidRPr="00C60810">
        <w:rPr>
          <w:rFonts w:ascii="Arial" w:hAnsi="Arial" w:cs="Arial"/>
          <w:sz w:val="16"/>
          <w:szCs w:val="16"/>
        </w:rPr>
        <w:t xml:space="preserve"> B., et al. </w:t>
      </w:r>
      <w:r w:rsidR="00E5120D">
        <w:rPr>
          <w:rFonts w:ascii="Arial" w:hAnsi="Arial" w:cs="Arial"/>
          <w:sz w:val="16"/>
          <w:szCs w:val="16"/>
        </w:rPr>
        <w:t xml:space="preserve">(2015). </w:t>
      </w:r>
      <w:r w:rsidRPr="00C60810">
        <w:rPr>
          <w:rFonts w:ascii="Arial" w:hAnsi="Arial" w:cs="Arial"/>
          <w:sz w:val="16"/>
          <w:szCs w:val="16"/>
        </w:rPr>
        <w:t xml:space="preserve">Flavored Tobacco Product Use Among US Aged 12-17 Years, 2013-2014. </w:t>
      </w:r>
      <w:r w:rsidRPr="00C60810">
        <w:rPr>
          <w:rFonts w:ascii="Arial" w:hAnsi="Arial" w:cs="Arial"/>
          <w:i/>
          <w:sz w:val="16"/>
          <w:szCs w:val="16"/>
        </w:rPr>
        <w:t>JAMA</w:t>
      </w:r>
      <w:r w:rsidRPr="00C60810">
        <w:rPr>
          <w:rFonts w:ascii="Arial" w:hAnsi="Arial" w:cs="Arial"/>
          <w:sz w:val="16"/>
          <w:szCs w:val="16"/>
        </w:rPr>
        <w:t xml:space="preserve">. </w:t>
      </w:r>
      <w:r w:rsidRPr="00E5120D">
        <w:rPr>
          <w:rFonts w:ascii="Arial" w:hAnsi="Arial" w:cs="Arial"/>
          <w:i/>
          <w:sz w:val="16"/>
          <w:szCs w:val="16"/>
        </w:rPr>
        <w:t>314</w:t>
      </w:r>
      <w:r w:rsidRPr="00C60810">
        <w:rPr>
          <w:rFonts w:ascii="Arial" w:hAnsi="Arial" w:cs="Arial"/>
          <w:sz w:val="16"/>
          <w:szCs w:val="16"/>
        </w:rPr>
        <w:t>(17): 1871-1873.</w:t>
      </w:r>
    </w:p>
  </w:footnote>
  <w:footnote w:id="58">
    <w:p w14:paraId="4FD5BC6D" w14:textId="77777777" w:rsidR="00C60810" w:rsidRPr="00F12A5E" w:rsidRDefault="00C60810" w:rsidP="00E5120D">
      <w:pPr>
        <w:ind w:right="-720"/>
        <w:rPr>
          <w:rFonts w:ascii="Arial" w:hAnsi="Arial" w:cs="Arial"/>
          <w:sz w:val="16"/>
          <w:szCs w:val="16"/>
        </w:rPr>
      </w:pPr>
      <w:r w:rsidRPr="00C60810">
        <w:rPr>
          <w:rStyle w:val="FootnoteReference"/>
          <w:rFonts w:ascii="Arial" w:hAnsi="Arial" w:cs="Arial"/>
          <w:sz w:val="16"/>
          <w:szCs w:val="16"/>
        </w:rPr>
        <w:footnoteRef/>
      </w:r>
      <w:r w:rsidRPr="00C60810">
        <w:rPr>
          <w:rFonts w:ascii="Arial" w:hAnsi="Arial" w:cs="Arial"/>
          <w:sz w:val="16"/>
          <w:szCs w:val="16"/>
        </w:rPr>
        <w:t xml:space="preserve"> </w:t>
      </w:r>
      <w:r w:rsidRPr="00C60810">
        <w:rPr>
          <w:rFonts w:ascii="Arial" w:hAnsi="Arial" w:cs="Arial"/>
          <w:i/>
          <w:sz w:val="16"/>
          <w:szCs w:val="16"/>
        </w:rPr>
        <w:t>Assumption</w:t>
      </w:r>
      <w:r w:rsidRPr="00C60810">
        <w:rPr>
          <w:rFonts w:ascii="Arial" w:hAnsi="Arial" w:cs="Arial"/>
          <w:sz w:val="16"/>
          <w:szCs w:val="16"/>
        </w:rPr>
        <w:t xml:space="preserve">: Average large joint contains 2 grams of dry flower; </w:t>
      </w:r>
      <w:proofErr w:type="gramStart"/>
      <w:r w:rsidRPr="00C60810">
        <w:rPr>
          <w:rFonts w:ascii="Arial" w:hAnsi="Arial" w:cs="Arial"/>
          <w:sz w:val="16"/>
          <w:szCs w:val="16"/>
        </w:rPr>
        <w:t>8 ounce</w:t>
      </w:r>
      <w:proofErr w:type="gramEnd"/>
      <w:r w:rsidRPr="00C60810">
        <w:rPr>
          <w:rFonts w:ascii="Arial" w:hAnsi="Arial" w:cs="Arial"/>
          <w:sz w:val="16"/>
          <w:szCs w:val="16"/>
        </w:rPr>
        <w:t xml:space="preserve"> daily limit X 28.3 grams/ounce = 227 grams; 227 grams/ average 2 gram joint = 113 average large joints</w:t>
      </w:r>
      <w:r w:rsidRPr="00F12A5E">
        <w:rPr>
          <w:rFonts w:ascii="Arial" w:hAnsi="Arial" w:cs="Arial"/>
          <w:sz w:val="16"/>
          <w:szCs w:val="16"/>
        </w:rPr>
        <w:t xml:space="preserve"> </w:t>
      </w:r>
    </w:p>
  </w:footnote>
  <w:footnote w:id="59">
    <w:p w14:paraId="55AA78D0" w14:textId="0AB3EB2A" w:rsidR="00C60810" w:rsidRPr="00D93BBA" w:rsidRDefault="00C60810" w:rsidP="00E5120D">
      <w:pPr>
        <w:ind w:right="-720"/>
        <w:rPr>
          <w:sz w:val="16"/>
          <w:szCs w:val="16"/>
        </w:rPr>
      </w:pPr>
      <w:r w:rsidRPr="009F7CE3">
        <w:rPr>
          <w:rStyle w:val="FootnoteReference"/>
          <w:rFonts w:ascii="Arial" w:hAnsi="Arial" w:cs="Arial"/>
          <w:sz w:val="16"/>
          <w:szCs w:val="16"/>
        </w:rPr>
        <w:footnoteRef/>
      </w:r>
      <w:r w:rsidRPr="009F7CE3">
        <w:rPr>
          <w:rFonts w:ascii="Arial" w:hAnsi="Arial" w:cs="Arial"/>
          <w:sz w:val="16"/>
          <w:szCs w:val="16"/>
        </w:rPr>
        <w:t xml:space="preserve"> </w:t>
      </w:r>
      <w:proofErr w:type="spellStart"/>
      <w:r w:rsidRPr="009F7CE3">
        <w:rPr>
          <w:rFonts w:ascii="Arial" w:hAnsi="Arial" w:cs="Arial"/>
          <w:sz w:val="16"/>
          <w:szCs w:val="16"/>
        </w:rPr>
        <w:t>Orens</w:t>
      </w:r>
      <w:proofErr w:type="spellEnd"/>
      <w:r w:rsidRPr="009F7CE3">
        <w:rPr>
          <w:rFonts w:ascii="Arial" w:hAnsi="Arial" w:cs="Arial"/>
          <w:sz w:val="16"/>
          <w:szCs w:val="16"/>
        </w:rPr>
        <w:t xml:space="preserve"> A, Light M, </w:t>
      </w:r>
      <w:proofErr w:type="spellStart"/>
      <w:r w:rsidRPr="009F7CE3">
        <w:rPr>
          <w:rFonts w:ascii="Arial" w:hAnsi="Arial" w:cs="Arial"/>
          <w:sz w:val="16"/>
          <w:szCs w:val="16"/>
        </w:rPr>
        <w:t>Rowberry</w:t>
      </w:r>
      <w:proofErr w:type="spellEnd"/>
      <w:r w:rsidRPr="009F7CE3">
        <w:rPr>
          <w:rFonts w:ascii="Arial" w:hAnsi="Arial" w:cs="Arial"/>
          <w:sz w:val="16"/>
          <w:szCs w:val="16"/>
        </w:rPr>
        <w:t xml:space="preserve"> J, </w:t>
      </w:r>
      <w:proofErr w:type="spellStart"/>
      <w:r w:rsidRPr="009F7CE3">
        <w:rPr>
          <w:rFonts w:ascii="Arial" w:hAnsi="Arial" w:cs="Arial"/>
          <w:sz w:val="16"/>
          <w:szCs w:val="16"/>
        </w:rPr>
        <w:t>Matsen</w:t>
      </w:r>
      <w:proofErr w:type="spellEnd"/>
      <w:r w:rsidRPr="009F7CE3">
        <w:rPr>
          <w:rFonts w:ascii="Arial" w:hAnsi="Arial" w:cs="Arial"/>
          <w:sz w:val="16"/>
          <w:szCs w:val="16"/>
        </w:rPr>
        <w:t xml:space="preserve"> J, Lewandowski B. </w:t>
      </w:r>
      <w:r w:rsidR="00E5120D">
        <w:rPr>
          <w:rFonts w:ascii="Arial" w:hAnsi="Arial" w:cs="Arial"/>
          <w:sz w:val="16"/>
          <w:szCs w:val="16"/>
        </w:rPr>
        <w:t xml:space="preserve">(2015). </w:t>
      </w:r>
      <w:r w:rsidRPr="009F7CE3">
        <w:rPr>
          <w:rFonts w:ascii="Arial" w:hAnsi="Arial" w:cs="Arial"/>
          <w:sz w:val="16"/>
          <w:szCs w:val="16"/>
        </w:rPr>
        <w:t>Marijuana Equivalency in Portion and Dosage An assessment of physical and pharmacokinetic relationships in marijuana production and consumption in Colorado. Marijuana Policy Group. University of Colorado, Leeds School of Business, Business Research Division, Marijuana Policy Group, and BBC Research &amp; Consulting for the Colorado Department of Revenue</w:t>
      </w:r>
      <w:r w:rsidR="00E5120D">
        <w:rPr>
          <w:rFonts w:ascii="Arial" w:hAnsi="Arial" w:cs="Arial"/>
          <w:sz w:val="16"/>
          <w:szCs w:val="16"/>
        </w:rPr>
        <w:t>.</w:t>
      </w:r>
    </w:p>
  </w:footnote>
  <w:footnote w:id="60">
    <w:p w14:paraId="51361A9B" w14:textId="72FF12EF" w:rsidR="00E122C2" w:rsidRPr="00E122C2" w:rsidRDefault="00E122C2" w:rsidP="00E5120D">
      <w:pPr>
        <w:pStyle w:val="Bibliography"/>
        <w:spacing w:after="0" w:line="240" w:lineRule="auto"/>
        <w:ind w:right="-720"/>
        <w:rPr>
          <w:rFonts w:ascii="Arial" w:hAnsi="Arial" w:cs="Arial"/>
          <w:sz w:val="16"/>
          <w:szCs w:val="16"/>
        </w:rPr>
      </w:pPr>
      <w:r w:rsidRPr="00E122C2">
        <w:rPr>
          <w:rStyle w:val="FootnoteReference"/>
          <w:rFonts w:ascii="Arial" w:hAnsi="Arial" w:cs="Arial"/>
          <w:sz w:val="16"/>
          <w:szCs w:val="16"/>
        </w:rPr>
        <w:footnoteRef/>
      </w:r>
      <w:r w:rsidRPr="00E122C2">
        <w:rPr>
          <w:rFonts w:ascii="Arial" w:hAnsi="Arial" w:cs="Arial"/>
          <w:sz w:val="16"/>
          <w:szCs w:val="16"/>
        </w:rPr>
        <w:t xml:space="preserve"> Fletcher LA, Toomey TL, </w:t>
      </w:r>
      <w:proofErr w:type="spellStart"/>
      <w:r w:rsidRPr="00E122C2">
        <w:rPr>
          <w:rFonts w:ascii="Arial" w:hAnsi="Arial" w:cs="Arial"/>
          <w:sz w:val="16"/>
          <w:szCs w:val="16"/>
        </w:rPr>
        <w:t>Wagenaar</w:t>
      </w:r>
      <w:proofErr w:type="spellEnd"/>
      <w:r w:rsidRPr="00E122C2">
        <w:rPr>
          <w:rFonts w:ascii="Arial" w:hAnsi="Arial" w:cs="Arial"/>
          <w:sz w:val="16"/>
          <w:szCs w:val="16"/>
        </w:rPr>
        <w:t xml:space="preserve"> AC, Short B, </w:t>
      </w:r>
      <w:proofErr w:type="spellStart"/>
      <w:r w:rsidRPr="00E122C2">
        <w:rPr>
          <w:rFonts w:ascii="Arial" w:hAnsi="Arial" w:cs="Arial"/>
          <w:sz w:val="16"/>
          <w:szCs w:val="16"/>
        </w:rPr>
        <w:t>Willenbring</w:t>
      </w:r>
      <w:proofErr w:type="spellEnd"/>
      <w:r w:rsidRPr="00E122C2">
        <w:rPr>
          <w:rFonts w:ascii="Arial" w:hAnsi="Arial" w:cs="Arial"/>
          <w:sz w:val="16"/>
          <w:szCs w:val="16"/>
        </w:rPr>
        <w:t xml:space="preserve"> ML. </w:t>
      </w:r>
      <w:r w:rsidR="00E5120D">
        <w:rPr>
          <w:rFonts w:ascii="Arial" w:hAnsi="Arial" w:cs="Arial"/>
          <w:sz w:val="16"/>
          <w:szCs w:val="16"/>
        </w:rPr>
        <w:t xml:space="preserve">(2000). </w:t>
      </w:r>
      <w:r w:rsidRPr="00E122C2">
        <w:rPr>
          <w:rFonts w:ascii="Arial" w:hAnsi="Arial" w:cs="Arial"/>
          <w:sz w:val="16"/>
          <w:szCs w:val="16"/>
        </w:rPr>
        <w:t xml:space="preserve">Alcohol home delivery services: a source of alcohol for underage drinkers. </w:t>
      </w:r>
      <w:r w:rsidRPr="00E122C2">
        <w:rPr>
          <w:rFonts w:ascii="Arial" w:hAnsi="Arial" w:cs="Arial"/>
          <w:i/>
          <w:iCs/>
          <w:sz w:val="16"/>
          <w:szCs w:val="16"/>
        </w:rPr>
        <w:t>J Stud Alcohol</w:t>
      </w:r>
      <w:r w:rsidRPr="00E122C2">
        <w:rPr>
          <w:rFonts w:ascii="Arial" w:hAnsi="Arial" w:cs="Arial"/>
          <w:sz w:val="16"/>
          <w:szCs w:val="16"/>
        </w:rPr>
        <w:t xml:space="preserve">. </w:t>
      </w:r>
      <w:r w:rsidRPr="00E5120D">
        <w:rPr>
          <w:rFonts w:ascii="Arial" w:hAnsi="Arial" w:cs="Arial"/>
          <w:i/>
          <w:sz w:val="16"/>
          <w:szCs w:val="16"/>
        </w:rPr>
        <w:t>61</w:t>
      </w:r>
      <w:r w:rsidRPr="00E122C2">
        <w:rPr>
          <w:rFonts w:ascii="Arial" w:hAnsi="Arial" w:cs="Arial"/>
          <w:sz w:val="16"/>
          <w:szCs w:val="16"/>
        </w:rPr>
        <w:t>(1):81-84.</w:t>
      </w:r>
    </w:p>
  </w:footnote>
  <w:footnote w:id="61">
    <w:p w14:paraId="23A79D4D" w14:textId="0E2A456E" w:rsidR="00E122C2" w:rsidRDefault="00E122C2" w:rsidP="00E5120D">
      <w:pPr>
        <w:pStyle w:val="FootnoteText"/>
        <w:ind w:right="-720"/>
      </w:pPr>
      <w:r w:rsidRPr="00E122C2">
        <w:rPr>
          <w:rStyle w:val="FootnoteReference"/>
          <w:rFonts w:ascii="Arial" w:hAnsi="Arial" w:cs="Arial"/>
          <w:sz w:val="16"/>
          <w:szCs w:val="16"/>
        </w:rPr>
        <w:footnoteRef/>
      </w:r>
      <w:r w:rsidRPr="00E122C2">
        <w:rPr>
          <w:rFonts w:ascii="Arial" w:hAnsi="Arial" w:cs="Arial"/>
          <w:sz w:val="16"/>
          <w:szCs w:val="16"/>
        </w:rPr>
        <w:t xml:space="preserve"> Williams RS, </w:t>
      </w:r>
      <w:proofErr w:type="spellStart"/>
      <w:r w:rsidRPr="00E122C2">
        <w:rPr>
          <w:rFonts w:ascii="Arial" w:hAnsi="Arial" w:cs="Arial"/>
          <w:sz w:val="16"/>
          <w:szCs w:val="16"/>
        </w:rPr>
        <w:t>Ribisl</w:t>
      </w:r>
      <w:proofErr w:type="spellEnd"/>
      <w:r w:rsidRPr="00E122C2">
        <w:rPr>
          <w:rFonts w:ascii="Arial" w:hAnsi="Arial" w:cs="Arial"/>
          <w:sz w:val="16"/>
          <w:szCs w:val="16"/>
        </w:rPr>
        <w:t xml:space="preserve"> KM. </w:t>
      </w:r>
      <w:r w:rsidR="00E5120D">
        <w:rPr>
          <w:rFonts w:ascii="Arial" w:hAnsi="Arial" w:cs="Arial"/>
          <w:sz w:val="16"/>
          <w:szCs w:val="16"/>
        </w:rPr>
        <w:t xml:space="preserve">(2012). </w:t>
      </w:r>
      <w:r w:rsidRPr="00E122C2">
        <w:rPr>
          <w:rFonts w:ascii="Arial" w:hAnsi="Arial" w:cs="Arial"/>
          <w:sz w:val="16"/>
          <w:szCs w:val="16"/>
        </w:rPr>
        <w:t xml:space="preserve">Internet Alcohol Sales to Minors. </w:t>
      </w:r>
      <w:r w:rsidRPr="00E122C2">
        <w:rPr>
          <w:rFonts w:ascii="Arial" w:hAnsi="Arial" w:cs="Arial"/>
          <w:i/>
          <w:iCs/>
          <w:sz w:val="16"/>
          <w:szCs w:val="16"/>
        </w:rPr>
        <w:t xml:space="preserve">Arch </w:t>
      </w:r>
      <w:proofErr w:type="spellStart"/>
      <w:r w:rsidRPr="00E122C2">
        <w:rPr>
          <w:rFonts w:ascii="Arial" w:hAnsi="Arial" w:cs="Arial"/>
          <w:i/>
          <w:iCs/>
          <w:sz w:val="16"/>
          <w:szCs w:val="16"/>
        </w:rPr>
        <w:t>Pediatr</w:t>
      </w:r>
      <w:proofErr w:type="spellEnd"/>
      <w:r w:rsidRPr="00E122C2">
        <w:rPr>
          <w:rFonts w:ascii="Arial" w:hAnsi="Arial" w:cs="Arial"/>
          <w:i/>
          <w:iCs/>
          <w:sz w:val="16"/>
          <w:szCs w:val="16"/>
        </w:rPr>
        <w:t xml:space="preserve"> </w:t>
      </w:r>
      <w:proofErr w:type="spellStart"/>
      <w:r w:rsidRPr="00E122C2">
        <w:rPr>
          <w:rFonts w:ascii="Arial" w:hAnsi="Arial" w:cs="Arial"/>
          <w:i/>
          <w:iCs/>
          <w:sz w:val="16"/>
          <w:szCs w:val="16"/>
        </w:rPr>
        <w:t>Adolesc</w:t>
      </w:r>
      <w:proofErr w:type="spellEnd"/>
      <w:r w:rsidRPr="00E122C2">
        <w:rPr>
          <w:rFonts w:ascii="Arial" w:hAnsi="Arial" w:cs="Arial"/>
          <w:i/>
          <w:iCs/>
          <w:sz w:val="16"/>
          <w:szCs w:val="16"/>
        </w:rPr>
        <w:t xml:space="preserve"> Med</w:t>
      </w:r>
      <w:r w:rsidRPr="00E122C2">
        <w:rPr>
          <w:rFonts w:ascii="Arial" w:hAnsi="Arial" w:cs="Arial"/>
          <w:sz w:val="16"/>
          <w:szCs w:val="16"/>
        </w:rPr>
        <w:t xml:space="preserve">. </w:t>
      </w:r>
      <w:r w:rsidRPr="00E5120D">
        <w:rPr>
          <w:rFonts w:ascii="Arial" w:hAnsi="Arial" w:cs="Arial"/>
          <w:i/>
          <w:sz w:val="16"/>
          <w:szCs w:val="16"/>
        </w:rPr>
        <w:t>166</w:t>
      </w:r>
      <w:r w:rsidRPr="00E122C2">
        <w:rPr>
          <w:rFonts w:ascii="Arial" w:hAnsi="Arial" w:cs="Arial"/>
          <w:sz w:val="16"/>
          <w:szCs w:val="16"/>
        </w:rPr>
        <w:t>(9):808-813. doi:10.1001/archpediatrics.2012.265.</w:t>
      </w:r>
    </w:p>
  </w:footnote>
  <w:footnote w:id="62">
    <w:p w14:paraId="37FB85BC" w14:textId="77777777" w:rsidR="00C60810" w:rsidRPr="001348F1" w:rsidRDefault="00C60810" w:rsidP="009F105E">
      <w:pPr>
        <w:pStyle w:val="Default"/>
        <w:rPr>
          <w:rFonts w:ascii="Arial" w:eastAsiaTheme="minorHAnsi" w:hAnsi="Arial" w:cs="Arial"/>
          <w:sz w:val="16"/>
          <w:szCs w:val="16"/>
        </w:rPr>
      </w:pPr>
      <w:r w:rsidRPr="001348F1">
        <w:rPr>
          <w:rStyle w:val="FootnoteReference"/>
          <w:rFonts w:ascii="Arial" w:hAnsi="Arial" w:cs="Arial"/>
          <w:sz w:val="16"/>
          <w:szCs w:val="16"/>
        </w:rPr>
        <w:footnoteRef/>
      </w:r>
      <w:r w:rsidRPr="001348F1">
        <w:rPr>
          <w:rFonts w:ascii="Arial" w:hAnsi="Arial" w:cs="Arial"/>
          <w:sz w:val="16"/>
          <w:szCs w:val="16"/>
        </w:rPr>
        <w:t xml:space="preserve"> Initiative Measure (Prop. 64), §3(d), approved Nov. 8, 2016, eff. Nov. 9, 2016</w:t>
      </w:r>
    </w:p>
  </w:footnote>
  <w:footnote w:id="63">
    <w:p w14:paraId="483E4F69" w14:textId="77777777" w:rsidR="00C60810" w:rsidRPr="009F7CE3" w:rsidRDefault="00C60810" w:rsidP="002A559B">
      <w:pPr>
        <w:pStyle w:val="FootnoteText"/>
        <w:rPr>
          <w:rFonts w:ascii="Arial" w:hAnsi="Arial" w:cs="Arial"/>
          <w:sz w:val="16"/>
          <w:szCs w:val="16"/>
        </w:rPr>
      </w:pPr>
      <w:r w:rsidRPr="009F7CE3">
        <w:rPr>
          <w:rStyle w:val="FootnoteReference"/>
          <w:rFonts w:ascii="Arial" w:hAnsi="Arial" w:cs="Arial"/>
          <w:sz w:val="16"/>
          <w:szCs w:val="16"/>
        </w:rPr>
        <w:footnoteRef/>
      </w:r>
      <w:r w:rsidRPr="009F7CE3">
        <w:rPr>
          <w:rFonts w:ascii="Arial" w:hAnsi="Arial" w:cs="Arial"/>
          <w:sz w:val="16"/>
          <w:szCs w:val="16"/>
        </w:rPr>
        <w:t xml:space="preserve"> </w:t>
      </w:r>
      <w:r w:rsidRPr="009F7CE3">
        <w:rPr>
          <w:rFonts w:ascii="Arial" w:eastAsia="Times New Roman" w:hAnsi="Arial" w:cs="Arial"/>
          <w:color w:val="000000"/>
          <w:sz w:val="16"/>
          <w:szCs w:val="16"/>
        </w:rPr>
        <w:t>https://www.mercurynews.com/2018/07/14/cannabis-delivery-edibles-and-ads-could-change-under-new-permanent-state-regs/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63D"/>
    <w:multiLevelType w:val="hybridMultilevel"/>
    <w:tmpl w:val="10BC493C"/>
    <w:lvl w:ilvl="0" w:tplc="FFFCF71E">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0CE0"/>
    <w:multiLevelType w:val="hybridMultilevel"/>
    <w:tmpl w:val="552845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B021A"/>
    <w:multiLevelType w:val="hybridMultilevel"/>
    <w:tmpl w:val="93D003A4"/>
    <w:lvl w:ilvl="0" w:tplc="27BE11CA">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75AA6"/>
    <w:multiLevelType w:val="hybridMultilevel"/>
    <w:tmpl w:val="CB7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706C"/>
    <w:multiLevelType w:val="hybridMultilevel"/>
    <w:tmpl w:val="56A8C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69090C"/>
    <w:multiLevelType w:val="hybridMultilevel"/>
    <w:tmpl w:val="86841A10"/>
    <w:lvl w:ilvl="0" w:tplc="DD7C60A2">
      <w:start w:val="1"/>
      <w:numFmt w:val="lowerRoman"/>
      <w:lvlText w:val="%1)"/>
      <w:lvlJc w:val="left"/>
      <w:pPr>
        <w:ind w:left="1440" w:hanging="720"/>
      </w:pPr>
      <w:rPr>
        <w:rFonts w:cs="Times New Roman"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B74CDA"/>
    <w:multiLevelType w:val="hybridMultilevel"/>
    <w:tmpl w:val="310E7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C6299"/>
    <w:multiLevelType w:val="multilevel"/>
    <w:tmpl w:val="10BC493C"/>
    <w:lvl w:ilvl="0">
      <w:start w:val="1"/>
      <w:numFmt w:val="lowerLetter"/>
      <w:lvlText w:val="(%1)"/>
      <w:lvlJc w:val="left"/>
      <w:pPr>
        <w:ind w:left="720" w:hanging="360"/>
      </w:pPr>
      <w:rPr>
        <w:rFonts w:ascii="Arial" w:eastAsiaTheme="minorHAns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50C9A"/>
    <w:multiLevelType w:val="hybridMultilevel"/>
    <w:tmpl w:val="474223C8"/>
    <w:lvl w:ilvl="0" w:tplc="A3F6A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D45F2"/>
    <w:multiLevelType w:val="hybridMultilevel"/>
    <w:tmpl w:val="4A6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24C29"/>
    <w:multiLevelType w:val="hybridMultilevel"/>
    <w:tmpl w:val="090C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F03B2"/>
    <w:multiLevelType w:val="hybridMultilevel"/>
    <w:tmpl w:val="D3026E10"/>
    <w:lvl w:ilvl="0" w:tplc="12A0D7F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587147"/>
    <w:multiLevelType w:val="hybridMultilevel"/>
    <w:tmpl w:val="394A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A63E9"/>
    <w:multiLevelType w:val="hybridMultilevel"/>
    <w:tmpl w:val="3762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B6221"/>
    <w:multiLevelType w:val="hybridMultilevel"/>
    <w:tmpl w:val="89E226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BC57A8"/>
    <w:multiLevelType w:val="hybridMultilevel"/>
    <w:tmpl w:val="1022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C212B"/>
    <w:multiLevelType w:val="hybridMultilevel"/>
    <w:tmpl w:val="078AA9EE"/>
    <w:lvl w:ilvl="0" w:tplc="3B14E5A6">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986B51"/>
    <w:multiLevelType w:val="hybridMultilevel"/>
    <w:tmpl w:val="99725AEE"/>
    <w:lvl w:ilvl="0" w:tplc="D21ACA42">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30350"/>
    <w:multiLevelType w:val="hybridMultilevel"/>
    <w:tmpl w:val="096E1908"/>
    <w:lvl w:ilvl="0" w:tplc="CAE66FF8">
      <w:start w:val="3"/>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07717"/>
    <w:multiLevelType w:val="hybridMultilevel"/>
    <w:tmpl w:val="D512AA1A"/>
    <w:lvl w:ilvl="0" w:tplc="BE4E6FAE">
      <w:start w:val="1"/>
      <w:numFmt w:val="lowerRoman"/>
      <w:lvlText w:val="%1)"/>
      <w:lvlJc w:val="left"/>
      <w:pPr>
        <w:ind w:left="1088" w:hanging="360"/>
      </w:pPr>
      <w:rPr>
        <w:rFonts w:hint="default"/>
        <w:b w:val="0"/>
      </w:rPr>
    </w:lvl>
    <w:lvl w:ilvl="1" w:tplc="BE4E6FAE">
      <w:start w:val="1"/>
      <w:numFmt w:val="lowerRoman"/>
      <w:lvlText w:val="%2)"/>
      <w:lvlJc w:val="left"/>
      <w:pPr>
        <w:ind w:left="2168" w:hanging="720"/>
      </w:pPr>
      <w:rPr>
        <w:rFonts w:hint="default"/>
      </w:rPr>
    </w:lvl>
    <w:lvl w:ilvl="2" w:tplc="679C6540">
      <w:start w:val="1"/>
      <w:numFmt w:val="lowerLetter"/>
      <w:lvlText w:val="(%3)"/>
      <w:lvlJc w:val="left"/>
      <w:pPr>
        <w:ind w:left="2708" w:hanging="360"/>
      </w:pPr>
      <w:rPr>
        <w:rFonts w:hint="default"/>
      </w:rPr>
    </w:lvl>
    <w:lvl w:ilvl="3" w:tplc="421C8796">
      <w:start w:val="2"/>
      <w:numFmt w:val="lowerLetter"/>
      <w:lvlText w:val="%4."/>
      <w:lvlJc w:val="left"/>
      <w:pPr>
        <w:ind w:left="3248" w:hanging="360"/>
      </w:pPr>
      <w:rPr>
        <w:rFonts w:hint="default"/>
        <w:color w:val="auto"/>
      </w:r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0" w15:restartNumberingAfterBreak="0">
    <w:nsid w:val="7C871D2F"/>
    <w:multiLevelType w:val="hybridMultilevel"/>
    <w:tmpl w:val="A9908BFE"/>
    <w:lvl w:ilvl="0" w:tplc="69DC8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976747"/>
    <w:multiLevelType w:val="hybridMultilevel"/>
    <w:tmpl w:val="AB06A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0"/>
  </w:num>
  <w:num w:numId="5">
    <w:abstractNumId w:val="7"/>
  </w:num>
  <w:num w:numId="6">
    <w:abstractNumId w:val="8"/>
  </w:num>
  <w:num w:numId="7">
    <w:abstractNumId w:val="10"/>
  </w:num>
  <w:num w:numId="8">
    <w:abstractNumId w:val="4"/>
  </w:num>
  <w:num w:numId="9">
    <w:abstractNumId w:val="15"/>
  </w:num>
  <w:num w:numId="10">
    <w:abstractNumId w:val="12"/>
  </w:num>
  <w:num w:numId="11">
    <w:abstractNumId w:val="9"/>
  </w:num>
  <w:num w:numId="12">
    <w:abstractNumId w:val="18"/>
  </w:num>
  <w:num w:numId="13">
    <w:abstractNumId w:val="14"/>
  </w:num>
  <w:num w:numId="14">
    <w:abstractNumId w:val="3"/>
  </w:num>
  <w:num w:numId="15">
    <w:abstractNumId w:val="17"/>
  </w:num>
  <w:num w:numId="16">
    <w:abstractNumId w:val="5"/>
  </w:num>
  <w:num w:numId="17">
    <w:abstractNumId w:val="16"/>
  </w:num>
  <w:num w:numId="18">
    <w:abstractNumId w:val="19"/>
  </w:num>
  <w:num w:numId="19">
    <w:abstractNumId w:val="1"/>
  </w:num>
  <w:num w:numId="20">
    <w:abstractNumId w:val="11"/>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5E"/>
    <w:rsid w:val="00021A4D"/>
    <w:rsid w:val="000255C2"/>
    <w:rsid w:val="000269A1"/>
    <w:rsid w:val="0005506D"/>
    <w:rsid w:val="00057B22"/>
    <w:rsid w:val="0007353B"/>
    <w:rsid w:val="00090FF4"/>
    <w:rsid w:val="00094682"/>
    <w:rsid w:val="000D7431"/>
    <w:rsid w:val="000E1663"/>
    <w:rsid w:val="000F0FF7"/>
    <w:rsid w:val="000F55AE"/>
    <w:rsid w:val="00136683"/>
    <w:rsid w:val="00154A51"/>
    <w:rsid w:val="00164E24"/>
    <w:rsid w:val="00174D71"/>
    <w:rsid w:val="001927FE"/>
    <w:rsid w:val="001A1FEA"/>
    <w:rsid w:val="001B09BA"/>
    <w:rsid w:val="001B3D32"/>
    <w:rsid w:val="001C1B8C"/>
    <w:rsid w:val="001E33DB"/>
    <w:rsid w:val="00202600"/>
    <w:rsid w:val="00273C21"/>
    <w:rsid w:val="002A559B"/>
    <w:rsid w:val="002B4C21"/>
    <w:rsid w:val="002B62F6"/>
    <w:rsid w:val="002E4772"/>
    <w:rsid w:val="002F6CC3"/>
    <w:rsid w:val="00302214"/>
    <w:rsid w:val="003055E1"/>
    <w:rsid w:val="00321561"/>
    <w:rsid w:val="003323F9"/>
    <w:rsid w:val="003443C0"/>
    <w:rsid w:val="00375D82"/>
    <w:rsid w:val="00384542"/>
    <w:rsid w:val="00387EE4"/>
    <w:rsid w:val="003A4417"/>
    <w:rsid w:val="003A7802"/>
    <w:rsid w:val="003B38DF"/>
    <w:rsid w:val="003B3F2E"/>
    <w:rsid w:val="003B3F51"/>
    <w:rsid w:val="003E7447"/>
    <w:rsid w:val="00410B2D"/>
    <w:rsid w:val="00423C84"/>
    <w:rsid w:val="00446D36"/>
    <w:rsid w:val="00455A3E"/>
    <w:rsid w:val="00456C0C"/>
    <w:rsid w:val="00465A6E"/>
    <w:rsid w:val="00492112"/>
    <w:rsid w:val="004943CC"/>
    <w:rsid w:val="004A3D0F"/>
    <w:rsid w:val="004B604A"/>
    <w:rsid w:val="004C5060"/>
    <w:rsid w:val="004E1B73"/>
    <w:rsid w:val="0050356C"/>
    <w:rsid w:val="005244C5"/>
    <w:rsid w:val="00534BB2"/>
    <w:rsid w:val="0054635B"/>
    <w:rsid w:val="00547E33"/>
    <w:rsid w:val="005518FA"/>
    <w:rsid w:val="00555D44"/>
    <w:rsid w:val="00594D83"/>
    <w:rsid w:val="005A0FCA"/>
    <w:rsid w:val="005C2FE0"/>
    <w:rsid w:val="005C5C9C"/>
    <w:rsid w:val="005F2995"/>
    <w:rsid w:val="0062020D"/>
    <w:rsid w:val="00635516"/>
    <w:rsid w:val="0067092E"/>
    <w:rsid w:val="00674B61"/>
    <w:rsid w:val="00687DCF"/>
    <w:rsid w:val="006A3864"/>
    <w:rsid w:val="006A7C9C"/>
    <w:rsid w:val="006B08BC"/>
    <w:rsid w:val="006B6FB8"/>
    <w:rsid w:val="006C65C5"/>
    <w:rsid w:val="006D3B5E"/>
    <w:rsid w:val="006E2BC1"/>
    <w:rsid w:val="00704EFD"/>
    <w:rsid w:val="00714047"/>
    <w:rsid w:val="0072494C"/>
    <w:rsid w:val="007338D0"/>
    <w:rsid w:val="0075536B"/>
    <w:rsid w:val="007644D2"/>
    <w:rsid w:val="007861C0"/>
    <w:rsid w:val="007951C0"/>
    <w:rsid w:val="007A2E48"/>
    <w:rsid w:val="007C3410"/>
    <w:rsid w:val="007C54CB"/>
    <w:rsid w:val="007D1A72"/>
    <w:rsid w:val="007E415D"/>
    <w:rsid w:val="007E7087"/>
    <w:rsid w:val="007F45A8"/>
    <w:rsid w:val="0083674F"/>
    <w:rsid w:val="00846335"/>
    <w:rsid w:val="00847481"/>
    <w:rsid w:val="00885938"/>
    <w:rsid w:val="008B04E4"/>
    <w:rsid w:val="008C0384"/>
    <w:rsid w:val="00904714"/>
    <w:rsid w:val="009060B6"/>
    <w:rsid w:val="00910D35"/>
    <w:rsid w:val="00916B1E"/>
    <w:rsid w:val="009446AB"/>
    <w:rsid w:val="009564EE"/>
    <w:rsid w:val="009635B9"/>
    <w:rsid w:val="009A5C6A"/>
    <w:rsid w:val="009A72F8"/>
    <w:rsid w:val="009D7074"/>
    <w:rsid w:val="009F105E"/>
    <w:rsid w:val="009F60C7"/>
    <w:rsid w:val="009F7CE3"/>
    <w:rsid w:val="00A30DC2"/>
    <w:rsid w:val="00A44B04"/>
    <w:rsid w:val="00A8425E"/>
    <w:rsid w:val="00A877D9"/>
    <w:rsid w:val="00AB0CD9"/>
    <w:rsid w:val="00AC58A2"/>
    <w:rsid w:val="00AC67E9"/>
    <w:rsid w:val="00AD7828"/>
    <w:rsid w:val="00B2688C"/>
    <w:rsid w:val="00B332A8"/>
    <w:rsid w:val="00B540E3"/>
    <w:rsid w:val="00B673EA"/>
    <w:rsid w:val="00B9372B"/>
    <w:rsid w:val="00B94F20"/>
    <w:rsid w:val="00BD567B"/>
    <w:rsid w:val="00BE5177"/>
    <w:rsid w:val="00C00C38"/>
    <w:rsid w:val="00C40216"/>
    <w:rsid w:val="00C60810"/>
    <w:rsid w:val="00C95972"/>
    <w:rsid w:val="00CA70D8"/>
    <w:rsid w:val="00CB0FF8"/>
    <w:rsid w:val="00CC07CA"/>
    <w:rsid w:val="00CD1395"/>
    <w:rsid w:val="00CD17F9"/>
    <w:rsid w:val="00D622B0"/>
    <w:rsid w:val="00D82631"/>
    <w:rsid w:val="00D90F4B"/>
    <w:rsid w:val="00DC2E66"/>
    <w:rsid w:val="00DF389F"/>
    <w:rsid w:val="00DF716B"/>
    <w:rsid w:val="00E122C2"/>
    <w:rsid w:val="00E34380"/>
    <w:rsid w:val="00E417AC"/>
    <w:rsid w:val="00E433C3"/>
    <w:rsid w:val="00E5120D"/>
    <w:rsid w:val="00E51408"/>
    <w:rsid w:val="00E537EE"/>
    <w:rsid w:val="00EA5F1F"/>
    <w:rsid w:val="00EA603F"/>
    <w:rsid w:val="00F03390"/>
    <w:rsid w:val="00F12A5E"/>
    <w:rsid w:val="00F32F40"/>
    <w:rsid w:val="00F91926"/>
    <w:rsid w:val="00FA14BF"/>
    <w:rsid w:val="00FB492E"/>
    <w:rsid w:val="00FB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CD58"/>
  <w15:chartTrackingRefBased/>
  <w15:docId w15:val="{DD38F50C-4A28-2849-9758-9CAAFB45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A4D"/>
    <w:rPr>
      <w:rFonts w:ascii="Times New Roman" w:eastAsia="Times New Roman" w:hAnsi="Times New Roman" w:cs="Times New Roman"/>
    </w:rPr>
  </w:style>
  <w:style w:type="paragraph" w:styleId="Heading1">
    <w:name w:val="heading 1"/>
    <w:basedOn w:val="Normal"/>
    <w:link w:val="Heading1Char"/>
    <w:uiPriority w:val="9"/>
    <w:qFormat/>
    <w:rsid w:val="003B38DF"/>
    <w:pPr>
      <w:spacing w:before="100" w:beforeAutospacing="1" w:after="100" w:afterAutospacing="1"/>
      <w:outlineLvl w:val="0"/>
    </w:pPr>
    <w:rPr>
      <w:rFonts w:ascii="Times" w:eastAsiaTheme="minorHAnsi" w:hAnsi="Times" w:cstheme="minorBidi"/>
      <w:b/>
      <w:bCs/>
      <w:kern w:val="36"/>
      <w:sz w:val="48"/>
      <w:szCs w:val="48"/>
    </w:rPr>
  </w:style>
  <w:style w:type="paragraph" w:styleId="Heading6">
    <w:name w:val="heading 6"/>
    <w:basedOn w:val="Normal"/>
    <w:next w:val="Normal"/>
    <w:link w:val="Heading6Char"/>
    <w:uiPriority w:val="9"/>
    <w:unhideWhenUsed/>
    <w:qFormat/>
    <w:rsid w:val="00021A4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3B5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537EE"/>
    <w:rPr>
      <w:color w:val="0563C1" w:themeColor="hyperlink"/>
      <w:u w:val="single"/>
    </w:rPr>
  </w:style>
  <w:style w:type="character" w:styleId="UnresolvedMention">
    <w:name w:val="Unresolved Mention"/>
    <w:basedOn w:val="DefaultParagraphFont"/>
    <w:uiPriority w:val="99"/>
    <w:semiHidden/>
    <w:unhideWhenUsed/>
    <w:rsid w:val="00E537EE"/>
    <w:rPr>
      <w:color w:val="605E5C"/>
      <w:shd w:val="clear" w:color="auto" w:fill="E1DFDD"/>
    </w:rPr>
  </w:style>
  <w:style w:type="character" w:customStyle="1" w:styleId="A0">
    <w:name w:val="A0"/>
    <w:uiPriority w:val="99"/>
    <w:rsid w:val="00E537EE"/>
    <w:rPr>
      <w:rFonts w:cs="Proxima Nova Alt Rg"/>
      <w:color w:val="211D1E"/>
      <w:sz w:val="23"/>
      <w:szCs w:val="23"/>
    </w:rPr>
  </w:style>
  <w:style w:type="paragraph" w:styleId="FootnoteText">
    <w:name w:val="footnote text"/>
    <w:basedOn w:val="Normal"/>
    <w:link w:val="FootnoteTextChar"/>
    <w:uiPriority w:val="99"/>
    <w:unhideWhenUsed/>
    <w:rsid w:val="002A559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A559B"/>
    <w:rPr>
      <w:sz w:val="20"/>
      <w:szCs w:val="20"/>
    </w:rPr>
  </w:style>
  <w:style w:type="character" w:styleId="FootnoteReference">
    <w:name w:val="footnote reference"/>
    <w:basedOn w:val="DefaultParagraphFont"/>
    <w:uiPriority w:val="99"/>
    <w:unhideWhenUsed/>
    <w:rsid w:val="002A559B"/>
    <w:rPr>
      <w:vertAlign w:val="superscript"/>
    </w:rPr>
  </w:style>
  <w:style w:type="character" w:styleId="FollowedHyperlink">
    <w:name w:val="FollowedHyperlink"/>
    <w:basedOn w:val="DefaultParagraphFont"/>
    <w:uiPriority w:val="99"/>
    <w:semiHidden/>
    <w:unhideWhenUsed/>
    <w:rsid w:val="00492112"/>
    <w:rPr>
      <w:color w:val="954F72" w:themeColor="followedHyperlink"/>
      <w:u w:val="single"/>
    </w:rPr>
  </w:style>
  <w:style w:type="character" w:customStyle="1" w:styleId="apple-converted-space">
    <w:name w:val="apple-converted-space"/>
    <w:basedOn w:val="DefaultParagraphFont"/>
    <w:rsid w:val="00CC07CA"/>
  </w:style>
  <w:style w:type="paragraph" w:customStyle="1" w:styleId="LevelA">
    <w:name w:val="Level A"/>
    <w:basedOn w:val="Normal"/>
    <w:rsid w:val="007861C0"/>
    <w:pPr>
      <w:widowControl w:val="0"/>
      <w:tabs>
        <w:tab w:val="left" w:pos="360"/>
        <w:tab w:val="left" w:pos="720"/>
        <w:tab w:val="left" w:pos="1080"/>
        <w:tab w:val="left" w:pos="1440"/>
        <w:tab w:val="left" w:pos="1800"/>
        <w:tab w:val="left" w:pos="2160"/>
      </w:tabs>
      <w:autoSpaceDE w:val="0"/>
      <w:autoSpaceDN w:val="0"/>
      <w:adjustRightInd w:val="0"/>
      <w:ind w:left="360" w:firstLine="360"/>
    </w:pPr>
    <w:rPr>
      <w:szCs w:val="20"/>
    </w:rPr>
  </w:style>
  <w:style w:type="paragraph" w:styleId="EndnoteText">
    <w:name w:val="endnote text"/>
    <w:basedOn w:val="Normal"/>
    <w:link w:val="EndnoteTextChar"/>
    <w:uiPriority w:val="99"/>
    <w:unhideWhenUsed/>
    <w:rsid w:val="001E33DB"/>
    <w:rPr>
      <w:rFonts w:eastAsiaTheme="minorEastAsia"/>
    </w:rPr>
  </w:style>
  <w:style w:type="character" w:customStyle="1" w:styleId="EndnoteTextChar">
    <w:name w:val="Endnote Text Char"/>
    <w:basedOn w:val="DefaultParagraphFont"/>
    <w:link w:val="EndnoteText"/>
    <w:uiPriority w:val="99"/>
    <w:rsid w:val="001E33DB"/>
    <w:rPr>
      <w:rFonts w:ascii="Times New Roman" w:eastAsiaTheme="minorEastAsia" w:hAnsi="Times New Roman" w:cs="Times New Roman"/>
    </w:rPr>
  </w:style>
  <w:style w:type="character" w:styleId="EndnoteReference">
    <w:name w:val="endnote reference"/>
    <w:basedOn w:val="DefaultParagraphFont"/>
    <w:uiPriority w:val="99"/>
    <w:unhideWhenUsed/>
    <w:rsid w:val="001E33DB"/>
    <w:rPr>
      <w:vertAlign w:val="superscript"/>
    </w:rPr>
  </w:style>
  <w:style w:type="character" w:customStyle="1" w:styleId="Heading1Char">
    <w:name w:val="Heading 1 Char"/>
    <w:basedOn w:val="DefaultParagraphFont"/>
    <w:link w:val="Heading1"/>
    <w:uiPriority w:val="9"/>
    <w:rsid w:val="003B38DF"/>
    <w:rPr>
      <w:rFonts w:ascii="Times" w:hAnsi="Times"/>
      <w:b/>
      <w:bCs/>
      <w:kern w:val="36"/>
      <w:sz w:val="48"/>
      <w:szCs w:val="48"/>
    </w:rPr>
  </w:style>
  <w:style w:type="paragraph" w:customStyle="1" w:styleId="p5">
    <w:name w:val="p5"/>
    <w:basedOn w:val="Normal"/>
    <w:rsid w:val="00BD567B"/>
    <w:pPr>
      <w:spacing w:after="18"/>
    </w:pPr>
    <w:rPr>
      <w:rFonts w:eastAsiaTheme="minorHAnsi"/>
      <w:sz w:val="17"/>
      <w:szCs w:val="17"/>
    </w:rPr>
  </w:style>
  <w:style w:type="paragraph" w:customStyle="1" w:styleId="Default">
    <w:name w:val="Default"/>
    <w:rsid w:val="00BD567B"/>
    <w:pPr>
      <w:widowControl w:val="0"/>
      <w:autoSpaceDE w:val="0"/>
      <w:autoSpaceDN w:val="0"/>
      <w:adjustRightInd w:val="0"/>
    </w:pPr>
    <w:rPr>
      <w:rFonts w:ascii="Calibri" w:eastAsia="Times New Roman" w:hAnsi="Calibri" w:cs="Calibri"/>
      <w:color w:val="000000"/>
    </w:rPr>
  </w:style>
  <w:style w:type="paragraph" w:styleId="Bibliography">
    <w:name w:val="Bibliography"/>
    <w:basedOn w:val="Normal"/>
    <w:next w:val="Normal"/>
    <w:uiPriority w:val="37"/>
    <w:unhideWhenUsed/>
    <w:rsid w:val="00CA70D8"/>
    <w:pPr>
      <w:spacing w:after="160" w:line="259" w:lineRule="auto"/>
    </w:pPr>
    <w:rPr>
      <w:rFonts w:asciiTheme="minorHAnsi" w:eastAsiaTheme="minorHAnsi" w:hAnsiTheme="minorHAnsi" w:cstheme="minorBidi"/>
      <w:sz w:val="22"/>
      <w:szCs w:val="22"/>
    </w:rPr>
  </w:style>
  <w:style w:type="paragraph" w:customStyle="1" w:styleId="desc">
    <w:name w:val="desc"/>
    <w:basedOn w:val="Normal"/>
    <w:rsid w:val="00CA70D8"/>
    <w:pPr>
      <w:spacing w:before="100" w:beforeAutospacing="1" w:after="100" w:afterAutospacing="1"/>
    </w:pPr>
    <w:rPr>
      <w:rFonts w:ascii="Times" w:eastAsiaTheme="minorHAnsi" w:hAnsi="Times" w:cstheme="minorBidi"/>
      <w:sz w:val="20"/>
      <w:szCs w:val="20"/>
    </w:rPr>
  </w:style>
  <w:style w:type="character" w:customStyle="1" w:styleId="jrnl">
    <w:name w:val="jrnl"/>
    <w:basedOn w:val="DefaultParagraphFont"/>
    <w:rsid w:val="00CA70D8"/>
  </w:style>
  <w:style w:type="paragraph" w:styleId="Footer">
    <w:name w:val="footer"/>
    <w:basedOn w:val="Normal"/>
    <w:link w:val="FooterChar"/>
    <w:uiPriority w:val="99"/>
    <w:unhideWhenUsed/>
    <w:rsid w:val="005C5C9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5C9C"/>
  </w:style>
  <w:style w:type="character" w:styleId="PageNumber">
    <w:name w:val="page number"/>
    <w:basedOn w:val="DefaultParagraphFont"/>
    <w:uiPriority w:val="99"/>
    <w:semiHidden/>
    <w:unhideWhenUsed/>
    <w:rsid w:val="005C5C9C"/>
  </w:style>
  <w:style w:type="paragraph" w:customStyle="1" w:styleId="EndNoteBibliography">
    <w:name w:val="EndNote Bibliography"/>
    <w:basedOn w:val="Normal"/>
    <w:link w:val="EndNoteBibliographyChar"/>
    <w:rsid w:val="008B04E4"/>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8B04E4"/>
    <w:rPr>
      <w:rFonts w:ascii="Calibri" w:hAnsi="Calibri"/>
      <w:noProof/>
      <w:sz w:val="22"/>
      <w:szCs w:val="22"/>
    </w:rPr>
  </w:style>
  <w:style w:type="character" w:customStyle="1" w:styleId="doi">
    <w:name w:val="doi"/>
    <w:basedOn w:val="DefaultParagraphFont"/>
    <w:rsid w:val="008B04E4"/>
  </w:style>
  <w:style w:type="paragraph" w:styleId="BalloonText">
    <w:name w:val="Balloon Text"/>
    <w:basedOn w:val="Normal"/>
    <w:link w:val="BalloonTextChar"/>
    <w:uiPriority w:val="99"/>
    <w:semiHidden/>
    <w:unhideWhenUsed/>
    <w:rsid w:val="00EA5F1F"/>
    <w:rPr>
      <w:rFonts w:eastAsiaTheme="minorHAnsi"/>
      <w:sz w:val="18"/>
      <w:szCs w:val="18"/>
    </w:rPr>
  </w:style>
  <w:style w:type="character" w:customStyle="1" w:styleId="BalloonTextChar">
    <w:name w:val="Balloon Text Char"/>
    <w:basedOn w:val="DefaultParagraphFont"/>
    <w:link w:val="BalloonText"/>
    <w:uiPriority w:val="99"/>
    <w:semiHidden/>
    <w:rsid w:val="00EA5F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5F1F"/>
    <w:rPr>
      <w:sz w:val="16"/>
      <w:szCs w:val="16"/>
    </w:rPr>
  </w:style>
  <w:style w:type="paragraph" w:styleId="CommentText">
    <w:name w:val="annotation text"/>
    <w:basedOn w:val="Normal"/>
    <w:link w:val="CommentTextChar"/>
    <w:uiPriority w:val="99"/>
    <w:semiHidden/>
    <w:unhideWhenUsed/>
    <w:rsid w:val="00EA5F1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A5F1F"/>
    <w:rPr>
      <w:sz w:val="20"/>
      <w:szCs w:val="20"/>
    </w:rPr>
  </w:style>
  <w:style w:type="paragraph" w:styleId="CommentSubject">
    <w:name w:val="annotation subject"/>
    <w:basedOn w:val="CommentText"/>
    <w:next w:val="CommentText"/>
    <w:link w:val="CommentSubjectChar"/>
    <w:uiPriority w:val="99"/>
    <w:semiHidden/>
    <w:unhideWhenUsed/>
    <w:rsid w:val="00EA5F1F"/>
    <w:rPr>
      <w:b/>
      <w:bCs/>
    </w:rPr>
  </w:style>
  <w:style w:type="character" w:customStyle="1" w:styleId="CommentSubjectChar">
    <w:name w:val="Comment Subject Char"/>
    <w:basedOn w:val="CommentTextChar"/>
    <w:link w:val="CommentSubject"/>
    <w:uiPriority w:val="99"/>
    <w:semiHidden/>
    <w:rsid w:val="00EA5F1F"/>
    <w:rPr>
      <w:b/>
      <w:bCs/>
      <w:sz w:val="20"/>
      <w:szCs w:val="20"/>
    </w:rPr>
  </w:style>
  <w:style w:type="character" w:customStyle="1" w:styleId="hlfld-contribauthor">
    <w:name w:val="hlfld-contribauthor"/>
    <w:basedOn w:val="DefaultParagraphFont"/>
    <w:rsid w:val="00375D82"/>
  </w:style>
  <w:style w:type="character" w:customStyle="1" w:styleId="nlmgiven-names">
    <w:name w:val="nlm_given-names"/>
    <w:basedOn w:val="DefaultParagraphFont"/>
    <w:rsid w:val="00375D82"/>
  </w:style>
  <w:style w:type="character" w:customStyle="1" w:styleId="nlmyear">
    <w:name w:val="nlm_year"/>
    <w:basedOn w:val="DefaultParagraphFont"/>
    <w:rsid w:val="00375D82"/>
  </w:style>
  <w:style w:type="character" w:customStyle="1" w:styleId="nlmarticle-title">
    <w:name w:val="nlm_article-title"/>
    <w:basedOn w:val="DefaultParagraphFont"/>
    <w:rsid w:val="00375D82"/>
  </w:style>
  <w:style w:type="character" w:customStyle="1" w:styleId="nlmfpage">
    <w:name w:val="nlm_fpage"/>
    <w:basedOn w:val="DefaultParagraphFont"/>
    <w:rsid w:val="00375D82"/>
  </w:style>
  <w:style w:type="character" w:customStyle="1" w:styleId="nlmlpage">
    <w:name w:val="nlm_lpage"/>
    <w:basedOn w:val="DefaultParagraphFont"/>
    <w:rsid w:val="00375D82"/>
  </w:style>
  <w:style w:type="character" w:customStyle="1" w:styleId="ref-lnk">
    <w:name w:val="ref-lnk"/>
    <w:basedOn w:val="DefaultParagraphFont"/>
    <w:rsid w:val="00375D82"/>
  </w:style>
  <w:style w:type="character" w:customStyle="1" w:styleId="ref-overlay">
    <w:name w:val="ref-overlay"/>
    <w:basedOn w:val="DefaultParagraphFont"/>
    <w:rsid w:val="00375D82"/>
  </w:style>
  <w:style w:type="character" w:customStyle="1" w:styleId="xlinks-container">
    <w:name w:val="xlinks-container"/>
    <w:basedOn w:val="DefaultParagraphFont"/>
    <w:rsid w:val="00375D82"/>
  </w:style>
  <w:style w:type="character" w:customStyle="1" w:styleId="nlmpub-id">
    <w:name w:val="nlm_pub-id"/>
    <w:basedOn w:val="DefaultParagraphFont"/>
    <w:rsid w:val="00375D82"/>
  </w:style>
  <w:style w:type="character" w:customStyle="1" w:styleId="highlight">
    <w:name w:val="highlight"/>
    <w:basedOn w:val="DefaultParagraphFont"/>
    <w:rsid w:val="00375D82"/>
  </w:style>
  <w:style w:type="paragraph" w:customStyle="1" w:styleId="Title1">
    <w:name w:val="Title1"/>
    <w:basedOn w:val="Normal"/>
    <w:rsid w:val="00AC58A2"/>
    <w:pPr>
      <w:spacing w:before="100" w:beforeAutospacing="1" w:after="100" w:afterAutospacing="1"/>
    </w:pPr>
  </w:style>
  <w:style w:type="paragraph" w:customStyle="1" w:styleId="details">
    <w:name w:val="details"/>
    <w:basedOn w:val="Normal"/>
    <w:rsid w:val="00AC58A2"/>
    <w:pPr>
      <w:spacing w:before="100" w:beforeAutospacing="1" w:after="100" w:afterAutospacing="1"/>
    </w:pPr>
  </w:style>
  <w:style w:type="paragraph" w:styleId="Revision">
    <w:name w:val="Revision"/>
    <w:hidden/>
    <w:uiPriority w:val="99"/>
    <w:semiHidden/>
    <w:rsid w:val="00555D44"/>
  </w:style>
  <w:style w:type="character" w:customStyle="1" w:styleId="Heading6Char">
    <w:name w:val="Heading 6 Char"/>
    <w:basedOn w:val="DefaultParagraphFont"/>
    <w:link w:val="Heading6"/>
    <w:uiPriority w:val="9"/>
    <w:rsid w:val="00021A4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21A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368">
      <w:bodyDiv w:val="1"/>
      <w:marLeft w:val="0"/>
      <w:marRight w:val="0"/>
      <w:marTop w:val="0"/>
      <w:marBottom w:val="0"/>
      <w:divBdr>
        <w:top w:val="none" w:sz="0" w:space="0" w:color="auto"/>
        <w:left w:val="none" w:sz="0" w:space="0" w:color="auto"/>
        <w:bottom w:val="none" w:sz="0" w:space="0" w:color="auto"/>
        <w:right w:val="none" w:sz="0" w:space="0" w:color="auto"/>
      </w:divBdr>
    </w:div>
    <w:div w:id="47461386">
      <w:bodyDiv w:val="1"/>
      <w:marLeft w:val="0"/>
      <w:marRight w:val="0"/>
      <w:marTop w:val="0"/>
      <w:marBottom w:val="0"/>
      <w:divBdr>
        <w:top w:val="none" w:sz="0" w:space="0" w:color="auto"/>
        <w:left w:val="none" w:sz="0" w:space="0" w:color="auto"/>
        <w:bottom w:val="none" w:sz="0" w:space="0" w:color="auto"/>
        <w:right w:val="none" w:sz="0" w:space="0" w:color="auto"/>
      </w:divBdr>
    </w:div>
    <w:div w:id="58748873">
      <w:bodyDiv w:val="1"/>
      <w:marLeft w:val="0"/>
      <w:marRight w:val="0"/>
      <w:marTop w:val="0"/>
      <w:marBottom w:val="0"/>
      <w:divBdr>
        <w:top w:val="none" w:sz="0" w:space="0" w:color="auto"/>
        <w:left w:val="none" w:sz="0" w:space="0" w:color="auto"/>
        <w:bottom w:val="none" w:sz="0" w:space="0" w:color="auto"/>
        <w:right w:val="none" w:sz="0" w:space="0" w:color="auto"/>
      </w:divBdr>
    </w:div>
    <w:div w:id="389112890">
      <w:bodyDiv w:val="1"/>
      <w:marLeft w:val="0"/>
      <w:marRight w:val="0"/>
      <w:marTop w:val="0"/>
      <w:marBottom w:val="0"/>
      <w:divBdr>
        <w:top w:val="none" w:sz="0" w:space="0" w:color="auto"/>
        <w:left w:val="none" w:sz="0" w:space="0" w:color="auto"/>
        <w:bottom w:val="none" w:sz="0" w:space="0" w:color="auto"/>
        <w:right w:val="none" w:sz="0" w:space="0" w:color="auto"/>
      </w:divBdr>
    </w:div>
    <w:div w:id="542063095">
      <w:bodyDiv w:val="1"/>
      <w:marLeft w:val="0"/>
      <w:marRight w:val="0"/>
      <w:marTop w:val="0"/>
      <w:marBottom w:val="0"/>
      <w:divBdr>
        <w:top w:val="none" w:sz="0" w:space="0" w:color="auto"/>
        <w:left w:val="none" w:sz="0" w:space="0" w:color="auto"/>
        <w:bottom w:val="none" w:sz="0" w:space="0" w:color="auto"/>
        <w:right w:val="none" w:sz="0" w:space="0" w:color="auto"/>
      </w:divBdr>
    </w:div>
    <w:div w:id="558134307">
      <w:bodyDiv w:val="1"/>
      <w:marLeft w:val="0"/>
      <w:marRight w:val="0"/>
      <w:marTop w:val="0"/>
      <w:marBottom w:val="0"/>
      <w:divBdr>
        <w:top w:val="none" w:sz="0" w:space="0" w:color="auto"/>
        <w:left w:val="none" w:sz="0" w:space="0" w:color="auto"/>
        <w:bottom w:val="none" w:sz="0" w:space="0" w:color="auto"/>
        <w:right w:val="none" w:sz="0" w:space="0" w:color="auto"/>
      </w:divBdr>
    </w:div>
    <w:div w:id="656688136">
      <w:bodyDiv w:val="1"/>
      <w:marLeft w:val="0"/>
      <w:marRight w:val="0"/>
      <w:marTop w:val="0"/>
      <w:marBottom w:val="0"/>
      <w:divBdr>
        <w:top w:val="none" w:sz="0" w:space="0" w:color="auto"/>
        <w:left w:val="none" w:sz="0" w:space="0" w:color="auto"/>
        <w:bottom w:val="none" w:sz="0" w:space="0" w:color="auto"/>
        <w:right w:val="none" w:sz="0" w:space="0" w:color="auto"/>
      </w:divBdr>
    </w:div>
    <w:div w:id="905186552">
      <w:bodyDiv w:val="1"/>
      <w:marLeft w:val="0"/>
      <w:marRight w:val="0"/>
      <w:marTop w:val="0"/>
      <w:marBottom w:val="0"/>
      <w:divBdr>
        <w:top w:val="none" w:sz="0" w:space="0" w:color="auto"/>
        <w:left w:val="none" w:sz="0" w:space="0" w:color="auto"/>
        <w:bottom w:val="none" w:sz="0" w:space="0" w:color="auto"/>
        <w:right w:val="none" w:sz="0" w:space="0" w:color="auto"/>
      </w:divBdr>
    </w:div>
    <w:div w:id="946503320">
      <w:bodyDiv w:val="1"/>
      <w:marLeft w:val="0"/>
      <w:marRight w:val="0"/>
      <w:marTop w:val="0"/>
      <w:marBottom w:val="0"/>
      <w:divBdr>
        <w:top w:val="none" w:sz="0" w:space="0" w:color="auto"/>
        <w:left w:val="none" w:sz="0" w:space="0" w:color="auto"/>
        <w:bottom w:val="none" w:sz="0" w:space="0" w:color="auto"/>
        <w:right w:val="none" w:sz="0" w:space="0" w:color="auto"/>
      </w:divBdr>
    </w:div>
    <w:div w:id="988096216">
      <w:bodyDiv w:val="1"/>
      <w:marLeft w:val="0"/>
      <w:marRight w:val="0"/>
      <w:marTop w:val="0"/>
      <w:marBottom w:val="0"/>
      <w:divBdr>
        <w:top w:val="none" w:sz="0" w:space="0" w:color="auto"/>
        <w:left w:val="none" w:sz="0" w:space="0" w:color="auto"/>
        <w:bottom w:val="none" w:sz="0" w:space="0" w:color="auto"/>
        <w:right w:val="none" w:sz="0" w:space="0" w:color="auto"/>
      </w:divBdr>
    </w:div>
    <w:div w:id="1206530664">
      <w:bodyDiv w:val="1"/>
      <w:marLeft w:val="0"/>
      <w:marRight w:val="0"/>
      <w:marTop w:val="0"/>
      <w:marBottom w:val="0"/>
      <w:divBdr>
        <w:top w:val="none" w:sz="0" w:space="0" w:color="auto"/>
        <w:left w:val="none" w:sz="0" w:space="0" w:color="auto"/>
        <w:bottom w:val="none" w:sz="0" w:space="0" w:color="auto"/>
        <w:right w:val="none" w:sz="0" w:space="0" w:color="auto"/>
      </w:divBdr>
    </w:div>
    <w:div w:id="1373728857">
      <w:bodyDiv w:val="1"/>
      <w:marLeft w:val="0"/>
      <w:marRight w:val="0"/>
      <w:marTop w:val="0"/>
      <w:marBottom w:val="0"/>
      <w:divBdr>
        <w:top w:val="none" w:sz="0" w:space="0" w:color="auto"/>
        <w:left w:val="none" w:sz="0" w:space="0" w:color="auto"/>
        <w:bottom w:val="none" w:sz="0" w:space="0" w:color="auto"/>
        <w:right w:val="none" w:sz="0" w:space="0" w:color="auto"/>
      </w:divBdr>
    </w:div>
    <w:div w:id="1939286959">
      <w:bodyDiv w:val="1"/>
      <w:marLeft w:val="0"/>
      <w:marRight w:val="0"/>
      <w:marTop w:val="0"/>
      <w:marBottom w:val="0"/>
      <w:divBdr>
        <w:top w:val="none" w:sz="0" w:space="0" w:color="auto"/>
        <w:left w:val="none" w:sz="0" w:space="0" w:color="auto"/>
        <w:bottom w:val="none" w:sz="0" w:space="0" w:color="auto"/>
        <w:right w:val="none" w:sz="0" w:space="0" w:color="auto"/>
      </w:divBdr>
    </w:div>
    <w:div w:id="1949042822">
      <w:bodyDiv w:val="1"/>
      <w:marLeft w:val="0"/>
      <w:marRight w:val="0"/>
      <w:marTop w:val="0"/>
      <w:marBottom w:val="0"/>
      <w:divBdr>
        <w:top w:val="none" w:sz="0" w:space="0" w:color="auto"/>
        <w:left w:val="none" w:sz="0" w:space="0" w:color="auto"/>
        <w:bottom w:val="none" w:sz="0" w:space="0" w:color="auto"/>
        <w:right w:val="none" w:sz="0" w:space="0" w:color="auto"/>
      </w:divBdr>
      <w:divsChild>
        <w:div w:id="77023677">
          <w:marLeft w:val="0"/>
          <w:marRight w:val="0"/>
          <w:marTop w:val="34"/>
          <w:marBottom w:val="34"/>
          <w:divBdr>
            <w:top w:val="none" w:sz="0" w:space="0" w:color="auto"/>
            <w:left w:val="none" w:sz="0" w:space="0" w:color="auto"/>
            <w:bottom w:val="none" w:sz="0" w:space="0" w:color="auto"/>
            <w:right w:val="none" w:sz="0" w:space="0" w:color="auto"/>
          </w:divBdr>
        </w:div>
      </w:divsChild>
    </w:div>
    <w:div w:id="1990548531">
      <w:bodyDiv w:val="1"/>
      <w:marLeft w:val="0"/>
      <w:marRight w:val="0"/>
      <w:marTop w:val="0"/>
      <w:marBottom w:val="0"/>
      <w:divBdr>
        <w:top w:val="none" w:sz="0" w:space="0" w:color="auto"/>
        <w:left w:val="none" w:sz="0" w:space="0" w:color="auto"/>
        <w:bottom w:val="none" w:sz="0" w:space="0" w:color="auto"/>
        <w:right w:val="none" w:sz="0" w:space="0" w:color="auto"/>
      </w:divBdr>
    </w:div>
    <w:div w:id="2033653786">
      <w:bodyDiv w:val="1"/>
      <w:marLeft w:val="0"/>
      <w:marRight w:val="0"/>
      <w:marTop w:val="0"/>
      <w:marBottom w:val="0"/>
      <w:divBdr>
        <w:top w:val="none" w:sz="0" w:space="0" w:color="auto"/>
        <w:left w:val="none" w:sz="0" w:space="0" w:color="auto"/>
        <w:bottom w:val="none" w:sz="0" w:space="0" w:color="auto"/>
        <w:right w:val="none" w:sz="0" w:space="0" w:color="auto"/>
      </w:divBdr>
    </w:div>
    <w:div w:id="2076320869">
      <w:bodyDiv w:val="1"/>
      <w:marLeft w:val="0"/>
      <w:marRight w:val="0"/>
      <w:marTop w:val="0"/>
      <w:marBottom w:val="0"/>
      <w:divBdr>
        <w:top w:val="none" w:sz="0" w:space="0" w:color="auto"/>
        <w:left w:val="none" w:sz="0" w:space="0" w:color="auto"/>
        <w:bottom w:val="none" w:sz="0" w:space="0" w:color="auto"/>
        <w:right w:val="none" w:sz="0" w:space="0" w:color="auto"/>
      </w:divBdr>
    </w:div>
    <w:div w:id="2088992515">
      <w:bodyDiv w:val="1"/>
      <w:marLeft w:val="0"/>
      <w:marRight w:val="0"/>
      <w:marTop w:val="0"/>
      <w:marBottom w:val="0"/>
      <w:divBdr>
        <w:top w:val="none" w:sz="0" w:space="0" w:color="auto"/>
        <w:left w:val="none" w:sz="0" w:space="0" w:color="auto"/>
        <w:bottom w:val="none" w:sz="0" w:space="0" w:color="auto"/>
        <w:right w:val="none" w:sz="0" w:space="0" w:color="auto"/>
      </w:divBdr>
    </w:div>
    <w:div w:id="2096440283">
      <w:bodyDiv w:val="1"/>
      <w:marLeft w:val="0"/>
      <w:marRight w:val="0"/>
      <w:marTop w:val="0"/>
      <w:marBottom w:val="0"/>
      <w:divBdr>
        <w:top w:val="none" w:sz="0" w:space="0" w:color="auto"/>
        <w:left w:val="none" w:sz="0" w:space="0" w:color="auto"/>
        <w:bottom w:val="none" w:sz="0" w:space="0" w:color="auto"/>
        <w:right w:val="none" w:sz="0" w:space="0" w:color="auto"/>
      </w:divBdr>
      <w:divsChild>
        <w:div w:id="1349454421">
          <w:marLeft w:val="0"/>
          <w:marRight w:val="0"/>
          <w:marTop w:val="0"/>
          <w:marBottom w:val="0"/>
          <w:divBdr>
            <w:top w:val="none" w:sz="0" w:space="0" w:color="auto"/>
            <w:left w:val="none" w:sz="0" w:space="0" w:color="auto"/>
            <w:bottom w:val="none" w:sz="0" w:space="0" w:color="auto"/>
            <w:right w:val="none" w:sz="0" w:space="0" w:color="auto"/>
          </w:divBdr>
          <w:divsChild>
            <w:div w:id="1376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c.comments@dca.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annabis.ca.gov/cannabis-regulation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x.doi.org.ucsf.idm.oclc.org/10.1007/BF00442005" TargetMode="External"/><Relationship Id="rId1" Type="http://schemas.openxmlformats.org/officeDocument/2006/relationships/hyperlink" Target="http://dx.doi.org.ucsf.idm.oclc.org/10.1016/j.biopsych.2016.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BFAC-0E2F-994F-B30A-53825849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8913</Words>
  <Characters>50808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Padon</dc:creator>
  <cp:keywords/>
  <dc:description/>
  <cp:lastModifiedBy>Lynn Silver</cp:lastModifiedBy>
  <cp:revision>2</cp:revision>
  <dcterms:created xsi:type="dcterms:W3CDTF">2018-08-22T05:16:00Z</dcterms:created>
  <dcterms:modified xsi:type="dcterms:W3CDTF">2018-08-22T05:16:00Z</dcterms:modified>
</cp:coreProperties>
</file>