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0EB40" w14:textId="6A5CC894" w:rsidR="009F1969" w:rsidRPr="007647B4" w:rsidRDefault="009F1969" w:rsidP="00A549C2">
      <w:pPr>
        <w:jc w:val="center"/>
        <w:outlineLvl w:val="0"/>
        <w:rPr>
          <w:rFonts w:asciiTheme="minorHAnsi" w:hAnsiTheme="minorHAnsi" w:cstheme="minorHAnsi"/>
          <w:b/>
          <w:sz w:val="22"/>
          <w:szCs w:val="22"/>
        </w:rPr>
      </w:pPr>
      <w:r w:rsidRPr="007647B4">
        <w:rPr>
          <w:rFonts w:asciiTheme="minorHAnsi" w:hAnsiTheme="minorHAnsi" w:cstheme="minorHAnsi"/>
          <w:b/>
          <w:sz w:val="22"/>
          <w:szCs w:val="22"/>
        </w:rPr>
        <w:t>Model comments on the CDPH proposed</w:t>
      </w:r>
    </w:p>
    <w:p w14:paraId="305DF987" w14:textId="77777777" w:rsidR="009F1969" w:rsidRPr="007647B4" w:rsidRDefault="009F1969" w:rsidP="00A549C2">
      <w:pPr>
        <w:jc w:val="center"/>
        <w:rPr>
          <w:rFonts w:asciiTheme="minorHAnsi" w:hAnsiTheme="minorHAnsi" w:cstheme="minorHAnsi"/>
          <w:b/>
          <w:sz w:val="22"/>
          <w:szCs w:val="22"/>
        </w:rPr>
      </w:pPr>
      <w:r w:rsidRPr="007647B4">
        <w:rPr>
          <w:rFonts w:asciiTheme="minorHAnsi" w:hAnsiTheme="minorHAnsi" w:cstheme="minorHAnsi"/>
          <w:b/>
          <w:sz w:val="22"/>
          <w:szCs w:val="22"/>
        </w:rPr>
        <w:t>Text of Regulations</w:t>
      </w:r>
    </w:p>
    <w:p w14:paraId="203A6C83" w14:textId="77777777" w:rsidR="009F1969" w:rsidRPr="007647B4" w:rsidRDefault="009F1969" w:rsidP="00A549C2">
      <w:pPr>
        <w:jc w:val="center"/>
        <w:rPr>
          <w:rFonts w:asciiTheme="minorHAnsi" w:hAnsiTheme="minorHAnsi" w:cstheme="minorHAnsi"/>
          <w:sz w:val="22"/>
          <w:szCs w:val="22"/>
        </w:rPr>
      </w:pPr>
      <w:r w:rsidRPr="007647B4">
        <w:rPr>
          <w:rFonts w:asciiTheme="minorHAnsi" w:hAnsiTheme="minorHAnsi" w:cstheme="minorHAnsi"/>
          <w:b/>
          <w:i/>
          <w:sz w:val="22"/>
          <w:szCs w:val="22"/>
        </w:rPr>
        <w:t>Getting it Right from the Start: Regulation of Recreational Marijuana</w:t>
      </w:r>
    </w:p>
    <w:p w14:paraId="7C61A777" w14:textId="77777777" w:rsidR="009F1969" w:rsidRPr="007647B4" w:rsidRDefault="009F1969" w:rsidP="00A549C2">
      <w:pPr>
        <w:jc w:val="center"/>
        <w:rPr>
          <w:rFonts w:asciiTheme="minorHAnsi" w:hAnsiTheme="minorHAnsi" w:cstheme="minorHAnsi"/>
          <w:sz w:val="22"/>
          <w:szCs w:val="22"/>
        </w:rPr>
      </w:pPr>
      <w:r w:rsidRPr="007647B4">
        <w:rPr>
          <w:rFonts w:asciiTheme="minorHAnsi" w:hAnsiTheme="minorHAnsi" w:cstheme="minorHAnsi"/>
          <w:sz w:val="22"/>
          <w:szCs w:val="22"/>
        </w:rPr>
        <w:t>A project of the Public Health Institute</w:t>
      </w:r>
    </w:p>
    <w:p w14:paraId="4962842E" w14:textId="77777777" w:rsidR="009F1969" w:rsidRPr="007647B4" w:rsidRDefault="009F1969" w:rsidP="00A549C2">
      <w:pPr>
        <w:jc w:val="center"/>
        <w:rPr>
          <w:rFonts w:asciiTheme="minorHAnsi" w:hAnsiTheme="minorHAnsi" w:cstheme="minorHAnsi"/>
          <w:sz w:val="22"/>
          <w:szCs w:val="22"/>
        </w:rPr>
      </w:pPr>
    </w:p>
    <w:p w14:paraId="6375AD9A" w14:textId="19ACD734" w:rsidR="009F1969" w:rsidRPr="007647B4" w:rsidRDefault="009F1969" w:rsidP="00A549C2">
      <w:pPr>
        <w:jc w:val="center"/>
        <w:outlineLvl w:val="0"/>
        <w:rPr>
          <w:rFonts w:asciiTheme="minorHAnsi" w:hAnsiTheme="minorHAnsi" w:cstheme="minorHAnsi"/>
          <w:sz w:val="22"/>
          <w:szCs w:val="22"/>
        </w:rPr>
      </w:pPr>
      <w:r w:rsidRPr="007647B4">
        <w:rPr>
          <w:rFonts w:asciiTheme="minorHAnsi" w:hAnsiTheme="minorHAnsi" w:cstheme="minorHAnsi"/>
          <w:sz w:val="22"/>
          <w:szCs w:val="22"/>
        </w:rPr>
        <w:t xml:space="preserve">Lynn Silver, </w:t>
      </w:r>
      <w:r w:rsidR="00C24D3E" w:rsidRPr="007647B4">
        <w:rPr>
          <w:rFonts w:asciiTheme="minorHAnsi" w:hAnsiTheme="minorHAnsi" w:cstheme="minorHAnsi"/>
          <w:sz w:val="22"/>
          <w:szCs w:val="22"/>
        </w:rPr>
        <w:t xml:space="preserve">MD, MPH, </w:t>
      </w:r>
      <w:r w:rsidRPr="007647B4">
        <w:rPr>
          <w:rFonts w:asciiTheme="minorHAnsi" w:hAnsiTheme="minorHAnsi" w:cstheme="minorHAnsi"/>
          <w:sz w:val="22"/>
          <w:szCs w:val="22"/>
        </w:rPr>
        <w:t>Senior Advisor &amp; Director</w:t>
      </w:r>
    </w:p>
    <w:p w14:paraId="3491E56E" w14:textId="11984AB6" w:rsidR="009F1969" w:rsidRPr="007647B4" w:rsidRDefault="009F1969" w:rsidP="00A549C2">
      <w:pPr>
        <w:jc w:val="center"/>
        <w:outlineLvl w:val="0"/>
        <w:rPr>
          <w:rFonts w:asciiTheme="minorHAnsi" w:hAnsiTheme="minorHAnsi" w:cstheme="minorHAnsi"/>
          <w:sz w:val="22"/>
          <w:szCs w:val="22"/>
        </w:rPr>
      </w:pPr>
      <w:r w:rsidRPr="007647B4">
        <w:rPr>
          <w:rFonts w:asciiTheme="minorHAnsi" w:hAnsiTheme="minorHAnsi" w:cstheme="minorHAnsi"/>
          <w:sz w:val="22"/>
          <w:szCs w:val="22"/>
        </w:rPr>
        <w:t>Alisa Padon,</w:t>
      </w:r>
      <w:r w:rsidR="009367D6" w:rsidRPr="007647B4">
        <w:rPr>
          <w:rFonts w:asciiTheme="minorHAnsi" w:hAnsiTheme="minorHAnsi" w:cstheme="minorHAnsi"/>
          <w:sz w:val="22"/>
          <w:szCs w:val="22"/>
        </w:rPr>
        <w:t xml:space="preserve"> </w:t>
      </w:r>
      <w:r w:rsidR="00C24D3E" w:rsidRPr="007647B4">
        <w:rPr>
          <w:rFonts w:asciiTheme="minorHAnsi" w:hAnsiTheme="minorHAnsi" w:cstheme="minorHAnsi"/>
          <w:sz w:val="22"/>
          <w:szCs w:val="22"/>
        </w:rPr>
        <w:t>PhD.,</w:t>
      </w:r>
      <w:r w:rsidRPr="007647B4">
        <w:rPr>
          <w:rFonts w:asciiTheme="minorHAnsi" w:hAnsiTheme="minorHAnsi" w:cstheme="minorHAnsi"/>
          <w:sz w:val="22"/>
          <w:szCs w:val="22"/>
        </w:rPr>
        <w:t xml:space="preserve"> Research Scientist &amp; Co-Director</w:t>
      </w:r>
    </w:p>
    <w:p w14:paraId="5EEA8DB7" w14:textId="39BCC40A" w:rsidR="009F1969" w:rsidRPr="007647B4" w:rsidRDefault="009F1969" w:rsidP="00A549C2">
      <w:pPr>
        <w:jc w:val="center"/>
        <w:outlineLvl w:val="0"/>
        <w:rPr>
          <w:rFonts w:asciiTheme="minorHAnsi" w:hAnsiTheme="minorHAnsi" w:cstheme="minorHAnsi"/>
          <w:sz w:val="22"/>
          <w:szCs w:val="22"/>
        </w:rPr>
      </w:pPr>
      <w:r w:rsidRPr="007647B4">
        <w:rPr>
          <w:rFonts w:asciiTheme="minorHAnsi" w:hAnsiTheme="minorHAnsi" w:cstheme="minorHAnsi"/>
          <w:sz w:val="22"/>
          <w:szCs w:val="22"/>
        </w:rPr>
        <w:t>Amanda Naprawa,</w:t>
      </w:r>
      <w:r w:rsidR="001B433F" w:rsidRPr="007647B4">
        <w:rPr>
          <w:rFonts w:asciiTheme="minorHAnsi" w:hAnsiTheme="minorHAnsi" w:cstheme="minorHAnsi"/>
          <w:sz w:val="22"/>
          <w:szCs w:val="22"/>
        </w:rPr>
        <w:t xml:space="preserve"> </w:t>
      </w:r>
      <w:r w:rsidR="00C24D3E" w:rsidRPr="007647B4">
        <w:rPr>
          <w:rFonts w:asciiTheme="minorHAnsi" w:hAnsiTheme="minorHAnsi" w:cstheme="minorHAnsi"/>
          <w:sz w:val="22"/>
          <w:szCs w:val="22"/>
        </w:rPr>
        <w:t>JD, MPH,</w:t>
      </w:r>
      <w:r w:rsidRPr="007647B4">
        <w:rPr>
          <w:rFonts w:asciiTheme="minorHAnsi" w:hAnsiTheme="minorHAnsi" w:cstheme="minorHAnsi"/>
          <w:sz w:val="22"/>
          <w:szCs w:val="22"/>
        </w:rPr>
        <w:t xml:space="preserve"> Policy Associate</w:t>
      </w:r>
    </w:p>
    <w:p w14:paraId="2D31F4A1" w14:textId="77777777" w:rsidR="00564446" w:rsidRPr="007647B4" w:rsidRDefault="00564446" w:rsidP="00A549C2">
      <w:pPr>
        <w:jc w:val="center"/>
        <w:rPr>
          <w:rFonts w:asciiTheme="minorHAnsi" w:hAnsiTheme="minorHAnsi" w:cstheme="minorHAnsi"/>
          <w:i/>
          <w:sz w:val="22"/>
          <w:szCs w:val="22"/>
        </w:rPr>
      </w:pPr>
    </w:p>
    <w:p w14:paraId="37C32622" w14:textId="51E68385" w:rsidR="00C24D3E" w:rsidRPr="007647B4" w:rsidRDefault="00564446" w:rsidP="00A549C2">
      <w:pPr>
        <w:jc w:val="center"/>
        <w:rPr>
          <w:rFonts w:asciiTheme="minorHAnsi" w:hAnsiTheme="minorHAnsi" w:cstheme="minorHAnsi"/>
          <w:i/>
          <w:sz w:val="22"/>
          <w:szCs w:val="22"/>
        </w:rPr>
      </w:pPr>
      <w:r w:rsidRPr="007647B4">
        <w:rPr>
          <w:rFonts w:asciiTheme="minorHAnsi" w:hAnsiTheme="minorHAnsi" w:cstheme="minorHAnsi"/>
          <w:b/>
          <w:i/>
          <w:sz w:val="22"/>
          <w:szCs w:val="22"/>
        </w:rPr>
        <w:t>Acknowledgement:</w:t>
      </w:r>
      <w:r w:rsidRPr="007647B4">
        <w:rPr>
          <w:rFonts w:asciiTheme="minorHAnsi" w:hAnsiTheme="minorHAnsi" w:cstheme="minorHAnsi"/>
          <w:i/>
          <w:sz w:val="22"/>
          <w:szCs w:val="22"/>
        </w:rPr>
        <w:t xml:space="preserve"> </w:t>
      </w:r>
      <w:r w:rsidR="00A549C2" w:rsidRPr="007647B4">
        <w:rPr>
          <w:rFonts w:asciiTheme="minorHAnsi" w:hAnsiTheme="minorHAnsi" w:cstheme="minorHAnsi"/>
          <w:i/>
          <w:sz w:val="22"/>
          <w:szCs w:val="22"/>
        </w:rPr>
        <w:t>Significant s</w:t>
      </w:r>
      <w:r w:rsidRPr="007647B4">
        <w:rPr>
          <w:rFonts w:asciiTheme="minorHAnsi" w:hAnsiTheme="minorHAnsi" w:cstheme="minorHAnsi"/>
          <w:i/>
          <w:sz w:val="22"/>
          <w:szCs w:val="22"/>
        </w:rPr>
        <w:t>ections</w:t>
      </w:r>
      <w:r w:rsidR="00AA4A14" w:rsidRPr="007647B4">
        <w:rPr>
          <w:rFonts w:asciiTheme="minorHAnsi" w:hAnsiTheme="minorHAnsi" w:cstheme="minorHAnsi"/>
          <w:i/>
          <w:sz w:val="22"/>
          <w:szCs w:val="22"/>
        </w:rPr>
        <w:t xml:space="preserve"> of these comments, for example on pre-</w:t>
      </w:r>
      <w:r w:rsidRPr="007647B4">
        <w:rPr>
          <w:rFonts w:asciiTheme="minorHAnsi" w:hAnsiTheme="minorHAnsi" w:cstheme="minorHAnsi"/>
          <w:i/>
          <w:sz w:val="22"/>
          <w:szCs w:val="22"/>
        </w:rPr>
        <w:t>rolls, flavored products</w:t>
      </w:r>
      <w:r w:rsidR="00AA4A14" w:rsidRPr="007647B4">
        <w:rPr>
          <w:rFonts w:asciiTheme="minorHAnsi" w:hAnsiTheme="minorHAnsi" w:cstheme="minorHAnsi"/>
          <w:i/>
          <w:sz w:val="22"/>
          <w:szCs w:val="22"/>
        </w:rPr>
        <w:t>, plain pack</w:t>
      </w:r>
      <w:r w:rsidR="000B7EE5" w:rsidRPr="007647B4">
        <w:rPr>
          <w:rFonts w:asciiTheme="minorHAnsi" w:hAnsiTheme="minorHAnsi" w:cstheme="minorHAnsi"/>
          <w:i/>
          <w:sz w:val="22"/>
          <w:szCs w:val="22"/>
        </w:rPr>
        <w:t>a</w:t>
      </w:r>
      <w:r w:rsidR="00AA4A14" w:rsidRPr="007647B4">
        <w:rPr>
          <w:rFonts w:asciiTheme="minorHAnsi" w:hAnsiTheme="minorHAnsi" w:cstheme="minorHAnsi"/>
          <w:i/>
          <w:sz w:val="22"/>
          <w:szCs w:val="22"/>
        </w:rPr>
        <w:t>ging</w:t>
      </w:r>
      <w:r w:rsidR="000B7EE5" w:rsidRPr="007647B4">
        <w:rPr>
          <w:rFonts w:asciiTheme="minorHAnsi" w:hAnsiTheme="minorHAnsi" w:cstheme="minorHAnsi"/>
          <w:i/>
          <w:sz w:val="22"/>
          <w:szCs w:val="22"/>
        </w:rPr>
        <w:t>,</w:t>
      </w:r>
      <w:r w:rsidRPr="007647B4">
        <w:rPr>
          <w:rFonts w:asciiTheme="minorHAnsi" w:hAnsiTheme="minorHAnsi" w:cstheme="minorHAnsi"/>
          <w:i/>
          <w:sz w:val="22"/>
          <w:szCs w:val="22"/>
        </w:rPr>
        <w:t xml:space="preserve"> </w:t>
      </w:r>
      <w:r w:rsidR="00B75FAB" w:rsidRPr="007647B4">
        <w:rPr>
          <w:rFonts w:asciiTheme="minorHAnsi" w:hAnsiTheme="minorHAnsi" w:cstheme="minorHAnsi"/>
          <w:i/>
          <w:sz w:val="22"/>
          <w:szCs w:val="22"/>
        </w:rPr>
        <w:t xml:space="preserve">warning symbols and pictorial warnings </w:t>
      </w:r>
      <w:r w:rsidRPr="007647B4">
        <w:rPr>
          <w:rFonts w:asciiTheme="minorHAnsi" w:hAnsiTheme="minorHAnsi" w:cstheme="minorHAnsi"/>
          <w:i/>
          <w:sz w:val="22"/>
          <w:szCs w:val="22"/>
        </w:rPr>
        <w:t xml:space="preserve">and </w:t>
      </w:r>
      <w:r w:rsidR="00B75FAB" w:rsidRPr="007647B4">
        <w:rPr>
          <w:rFonts w:asciiTheme="minorHAnsi" w:hAnsiTheme="minorHAnsi" w:cstheme="minorHAnsi"/>
          <w:i/>
          <w:sz w:val="22"/>
          <w:szCs w:val="22"/>
        </w:rPr>
        <w:t xml:space="preserve">on </w:t>
      </w:r>
      <w:r w:rsidRPr="007647B4">
        <w:rPr>
          <w:rFonts w:asciiTheme="minorHAnsi" w:hAnsiTheme="minorHAnsi" w:cstheme="minorHAnsi"/>
          <w:i/>
          <w:sz w:val="22"/>
          <w:szCs w:val="22"/>
        </w:rPr>
        <w:t>caffeine are taken from or adapted from</w:t>
      </w:r>
      <w:r w:rsidR="00DA6B6F" w:rsidRPr="007647B4">
        <w:rPr>
          <w:rFonts w:asciiTheme="minorHAnsi" w:hAnsiTheme="minorHAnsi" w:cstheme="minorHAnsi"/>
          <w:i/>
          <w:sz w:val="22"/>
          <w:szCs w:val="22"/>
        </w:rPr>
        <w:t xml:space="preserve"> </w:t>
      </w:r>
      <w:r w:rsidR="00C24D3E" w:rsidRPr="007647B4">
        <w:rPr>
          <w:rFonts w:asciiTheme="minorHAnsi" w:hAnsiTheme="minorHAnsi" w:cstheme="minorHAnsi"/>
          <w:i/>
          <w:sz w:val="22"/>
          <w:szCs w:val="22"/>
        </w:rPr>
        <w:t xml:space="preserve">UCSF’s </w:t>
      </w:r>
      <w:r w:rsidR="00C24D3E" w:rsidRPr="007647B4">
        <w:rPr>
          <w:rFonts w:asciiTheme="minorHAnsi" w:hAnsiTheme="minorHAnsi" w:cstheme="minorHAnsi"/>
          <w:i/>
          <w:color w:val="000000"/>
          <w:sz w:val="22"/>
          <w:szCs w:val="22"/>
          <w:shd w:val="clear" w:color="auto" w:fill="FFFFFF"/>
        </w:rPr>
        <w:t>Center for Tobacco Control Research and Educatio</w:t>
      </w:r>
      <w:r w:rsidR="00C24D3E" w:rsidRPr="007647B4">
        <w:rPr>
          <w:rFonts w:asciiTheme="minorHAnsi" w:hAnsiTheme="minorHAnsi" w:cstheme="minorHAnsi"/>
          <w:i/>
          <w:sz w:val="22"/>
          <w:szCs w:val="22"/>
        </w:rPr>
        <w:t xml:space="preserve">n </w:t>
      </w:r>
      <w:r w:rsidR="00585EB8" w:rsidRPr="007647B4">
        <w:rPr>
          <w:rFonts w:asciiTheme="minorHAnsi" w:hAnsiTheme="minorHAnsi" w:cstheme="minorHAnsi"/>
          <w:i/>
          <w:sz w:val="22"/>
          <w:szCs w:val="22"/>
        </w:rPr>
        <w:t xml:space="preserve">comments </w:t>
      </w:r>
      <w:r w:rsidR="000B7EE5" w:rsidRPr="007647B4">
        <w:rPr>
          <w:rFonts w:asciiTheme="minorHAnsi" w:hAnsiTheme="minorHAnsi" w:cstheme="minorHAnsi"/>
          <w:i/>
          <w:sz w:val="22"/>
          <w:szCs w:val="22"/>
        </w:rPr>
        <w:t>with appreciation</w:t>
      </w:r>
      <w:r w:rsidR="00585EB8" w:rsidRPr="007647B4">
        <w:rPr>
          <w:rFonts w:asciiTheme="minorHAnsi" w:hAnsiTheme="minorHAnsi" w:cstheme="minorHAnsi"/>
          <w:i/>
          <w:sz w:val="22"/>
          <w:szCs w:val="22"/>
        </w:rPr>
        <w:t xml:space="preserve"> for their valuable </w:t>
      </w:r>
      <w:r w:rsidR="00B75FAB" w:rsidRPr="007647B4">
        <w:rPr>
          <w:rFonts w:asciiTheme="minorHAnsi" w:hAnsiTheme="minorHAnsi" w:cstheme="minorHAnsi"/>
          <w:i/>
          <w:sz w:val="22"/>
          <w:szCs w:val="22"/>
        </w:rPr>
        <w:t>contributions</w:t>
      </w:r>
      <w:r w:rsidR="000B7EE5" w:rsidRPr="007647B4">
        <w:rPr>
          <w:rFonts w:asciiTheme="minorHAnsi" w:hAnsiTheme="minorHAnsi" w:cstheme="minorHAnsi"/>
          <w:i/>
          <w:sz w:val="22"/>
          <w:szCs w:val="22"/>
        </w:rPr>
        <w:t>.</w:t>
      </w:r>
    </w:p>
    <w:p w14:paraId="674B7DD2" w14:textId="77777777" w:rsidR="009F1969" w:rsidRPr="007647B4" w:rsidRDefault="009F1969" w:rsidP="00A549C2">
      <w:pPr>
        <w:jc w:val="center"/>
        <w:rPr>
          <w:rFonts w:asciiTheme="minorHAnsi" w:hAnsiTheme="minorHAnsi" w:cstheme="minorHAnsi"/>
          <w:sz w:val="22"/>
          <w:szCs w:val="22"/>
        </w:rPr>
      </w:pPr>
    </w:p>
    <w:p w14:paraId="5626C10C" w14:textId="77777777" w:rsidR="009F1969" w:rsidRPr="007647B4" w:rsidRDefault="009F1969" w:rsidP="00A549C2">
      <w:pPr>
        <w:jc w:val="center"/>
        <w:outlineLvl w:val="0"/>
        <w:rPr>
          <w:rFonts w:asciiTheme="minorHAnsi" w:hAnsiTheme="minorHAnsi" w:cstheme="minorHAnsi"/>
          <w:b/>
          <w:sz w:val="22"/>
          <w:szCs w:val="22"/>
        </w:rPr>
      </w:pPr>
      <w:r w:rsidRPr="007647B4">
        <w:rPr>
          <w:rFonts w:asciiTheme="minorHAnsi" w:hAnsiTheme="minorHAnsi" w:cstheme="minorHAnsi"/>
          <w:b/>
          <w:sz w:val="22"/>
          <w:szCs w:val="22"/>
        </w:rPr>
        <w:t>Notes on submission:</w:t>
      </w:r>
    </w:p>
    <w:p w14:paraId="27C8C872" w14:textId="77777777" w:rsidR="009F1969" w:rsidRPr="007647B4" w:rsidRDefault="009F1969" w:rsidP="00A549C2">
      <w:pPr>
        <w:jc w:val="center"/>
        <w:rPr>
          <w:rFonts w:asciiTheme="minorHAnsi" w:hAnsiTheme="minorHAnsi" w:cstheme="minorHAnsi"/>
          <w:sz w:val="22"/>
          <w:szCs w:val="22"/>
        </w:rPr>
      </w:pPr>
      <w:r w:rsidRPr="007647B4">
        <w:rPr>
          <w:rFonts w:asciiTheme="minorHAnsi" w:hAnsiTheme="minorHAnsi" w:cstheme="minorHAnsi"/>
          <w:sz w:val="22"/>
          <w:szCs w:val="22"/>
        </w:rPr>
        <w:t>Comments can be submitted three ways:</w:t>
      </w:r>
    </w:p>
    <w:p w14:paraId="5CBE8425" w14:textId="2028AAD1" w:rsidR="009F1969" w:rsidRPr="00EE331A" w:rsidRDefault="009F1969" w:rsidP="00A549C2">
      <w:pPr>
        <w:pStyle w:val="ListParagraph"/>
        <w:numPr>
          <w:ilvl w:val="0"/>
          <w:numId w:val="2"/>
        </w:numPr>
        <w:jc w:val="center"/>
        <w:rPr>
          <w:rFonts w:asciiTheme="minorHAnsi" w:hAnsiTheme="minorHAnsi" w:cstheme="minorHAnsi"/>
          <w:sz w:val="22"/>
          <w:szCs w:val="22"/>
        </w:rPr>
      </w:pPr>
      <w:r w:rsidRPr="00D32EBA">
        <w:rPr>
          <w:rFonts w:asciiTheme="minorHAnsi" w:hAnsiTheme="minorHAnsi" w:cstheme="minorHAnsi"/>
          <w:sz w:val="22"/>
          <w:szCs w:val="22"/>
        </w:rPr>
        <w:t xml:space="preserve">Through </w:t>
      </w:r>
      <w:r w:rsidRPr="00D32EBA">
        <w:rPr>
          <w:rFonts w:asciiTheme="minorHAnsi" w:hAnsiTheme="minorHAnsi" w:cstheme="minorHAnsi"/>
          <w:b/>
          <w:sz w:val="22"/>
          <w:szCs w:val="22"/>
        </w:rPr>
        <w:t>email</w:t>
      </w:r>
      <w:r w:rsidRPr="00D32EBA">
        <w:rPr>
          <w:rFonts w:asciiTheme="minorHAnsi" w:hAnsiTheme="minorHAnsi" w:cstheme="minorHAnsi"/>
          <w:sz w:val="22"/>
          <w:szCs w:val="22"/>
        </w:rPr>
        <w:t xml:space="preserve"> </w:t>
      </w:r>
      <w:r w:rsidR="00042805" w:rsidRPr="00EE331A">
        <w:rPr>
          <w:rFonts w:asciiTheme="minorHAnsi" w:hAnsiTheme="minorHAnsi" w:cstheme="minorHAnsi"/>
          <w:sz w:val="22"/>
          <w:szCs w:val="22"/>
        </w:rPr>
        <w:t>to regulations@cdph.ca.gov</w:t>
      </w:r>
    </w:p>
    <w:p w14:paraId="13E06B44" w14:textId="657C9290" w:rsidR="009F1969" w:rsidRPr="007647B4" w:rsidRDefault="009F1969" w:rsidP="001B433F">
      <w:pPr>
        <w:jc w:val="center"/>
        <w:rPr>
          <w:rFonts w:asciiTheme="minorHAnsi" w:hAnsiTheme="minorHAnsi" w:cstheme="minorHAnsi"/>
          <w:sz w:val="22"/>
          <w:szCs w:val="22"/>
        </w:rPr>
      </w:pPr>
      <w:r w:rsidRPr="007647B4">
        <w:rPr>
          <w:rFonts w:asciiTheme="minorHAnsi" w:hAnsiTheme="minorHAnsi" w:cstheme="minorHAnsi"/>
          <w:sz w:val="22"/>
          <w:szCs w:val="22"/>
        </w:rPr>
        <w:t>with subject line “</w:t>
      </w:r>
      <w:r w:rsidR="00042805" w:rsidRPr="007647B4">
        <w:rPr>
          <w:rFonts w:asciiTheme="minorHAnsi" w:hAnsiTheme="minorHAnsi" w:cstheme="minorHAnsi"/>
          <w:color w:val="202020"/>
          <w:sz w:val="22"/>
          <w:szCs w:val="22"/>
          <w:shd w:val="clear" w:color="auto" w:fill="FFFFFF"/>
        </w:rPr>
        <w:t>Proposed regulations (DPH-17-010)”</w:t>
      </w:r>
    </w:p>
    <w:p w14:paraId="237FD1CB" w14:textId="77777777" w:rsidR="009F1969" w:rsidRPr="00D32EBA" w:rsidRDefault="009F1969" w:rsidP="001B433F">
      <w:pPr>
        <w:pStyle w:val="ListParagraph"/>
        <w:jc w:val="center"/>
        <w:rPr>
          <w:rFonts w:asciiTheme="minorHAnsi" w:hAnsiTheme="minorHAnsi" w:cstheme="minorHAnsi"/>
          <w:sz w:val="22"/>
          <w:szCs w:val="22"/>
        </w:rPr>
      </w:pPr>
    </w:p>
    <w:p w14:paraId="79A01429" w14:textId="770F9213" w:rsidR="009F1969" w:rsidRPr="007647B4" w:rsidRDefault="009F1969" w:rsidP="00A549C2">
      <w:pPr>
        <w:jc w:val="center"/>
        <w:rPr>
          <w:rFonts w:asciiTheme="minorHAnsi" w:hAnsiTheme="minorHAnsi" w:cstheme="minorHAnsi"/>
          <w:sz w:val="22"/>
          <w:szCs w:val="22"/>
        </w:rPr>
      </w:pPr>
      <w:r w:rsidRPr="007647B4">
        <w:rPr>
          <w:rFonts w:asciiTheme="minorHAnsi" w:hAnsiTheme="minorHAnsi" w:cstheme="minorHAnsi"/>
          <w:sz w:val="22"/>
          <w:szCs w:val="22"/>
        </w:rPr>
        <w:t xml:space="preserve">2) Through </w:t>
      </w:r>
      <w:r w:rsidRPr="007647B4">
        <w:rPr>
          <w:rFonts w:asciiTheme="minorHAnsi" w:hAnsiTheme="minorHAnsi" w:cstheme="minorHAnsi"/>
          <w:b/>
          <w:sz w:val="22"/>
          <w:szCs w:val="22"/>
        </w:rPr>
        <w:t>physical mail</w:t>
      </w:r>
      <w:r w:rsidRPr="007647B4">
        <w:rPr>
          <w:rFonts w:asciiTheme="minorHAnsi" w:hAnsiTheme="minorHAnsi" w:cstheme="minorHAnsi"/>
          <w:sz w:val="22"/>
          <w:szCs w:val="22"/>
        </w:rPr>
        <w:t xml:space="preserve"> to</w:t>
      </w:r>
    </w:p>
    <w:p w14:paraId="0D326AAC" w14:textId="5C74DA30" w:rsidR="009F1969" w:rsidRPr="007647B4" w:rsidRDefault="00042805" w:rsidP="00A549C2">
      <w:pPr>
        <w:jc w:val="center"/>
        <w:rPr>
          <w:rStyle w:val="A0"/>
          <w:rFonts w:asciiTheme="minorHAnsi" w:hAnsiTheme="minorHAnsi" w:cstheme="minorHAnsi"/>
          <w:sz w:val="22"/>
          <w:szCs w:val="22"/>
        </w:rPr>
      </w:pPr>
      <w:r w:rsidRPr="007647B4">
        <w:rPr>
          <w:rStyle w:val="A0"/>
          <w:rFonts w:asciiTheme="minorHAnsi" w:hAnsiTheme="minorHAnsi" w:cstheme="minorHAnsi"/>
          <w:sz w:val="22"/>
          <w:szCs w:val="22"/>
        </w:rPr>
        <w:t>CDPH Office of Regulations</w:t>
      </w:r>
    </w:p>
    <w:p w14:paraId="5C6E3635" w14:textId="6C8C46F6" w:rsidR="009F1969" w:rsidRPr="007647B4" w:rsidRDefault="00042805" w:rsidP="00A549C2">
      <w:pPr>
        <w:jc w:val="center"/>
        <w:rPr>
          <w:rStyle w:val="A0"/>
          <w:rFonts w:asciiTheme="minorHAnsi" w:hAnsiTheme="minorHAnsi" w:cstheme="minorHAnsi"/>
          <w:sz w:val="22"/>
          <w:szCs w:val="22"/>
        </w:rPr>
      </w:pPr>
      <w:r w:rsidRPr="007647B4">
        <w:rPr>
          <w:rStyle w:val="A0"/>
          <w:rFonts w:asciiTheme="minorHAnsi" w:hAnsiTheme="minorHAnsi" w:cstheme="minorHAnsi"/>
          <w:sz w:val="22"/>
          <w:szCs w:val="22"/>
        </w:rPr>
        <w:t>1415 L Street, Suite 500</w:t>
      </w:r>
    </w:p>
    <w:p w14:paraId="0B22655A" w14:textId="49B765F9" w:rsidR="009F1969" w:rsidRPr="007647B4" w:rsidRDefault="00042805" w:rsidP="00A549C2">
      <w:pPr>
        <w:jc w:val="center"/>
        <w:rPr>
          <w:rStyle w:val="A0"/>
          <w:rFonts w:asciiTheme="minorHAnsi" w:hAnsiTheme="minorHAnsi" w:cstheme="minorHAnsi"/>
          <w:sz w:val="22"/>
          <w:szCs w:val="22"/>
        </w:rPr>
      </w:pPr>
      <w:r w:rsidRPr="007647B4">
        <w:rPr>
          <w:rStyle w:val="A0"/>
          <w:rFonts w:asciiTheme="minorHAnsi" w:hAnsiTheme="minorHAnsi" w:cstheme="minorHAnsi"/>
          <w:sz w:val="22"/>
          <w:szCs w:val="22"/>
        </w:rPr>
        <w:t>Sacramento, CA 95814</w:t>
      </w:r>
    </w:p>
    <w:p w14:paraId="4196D5DB" w14:textId="77777777" w:rsidR="009F1969" w:rsidRPr="007647B4" w:rsidRDefault="009F1969" w:rsidP="00A549C2">
      <w:pPr>
        <w:jc w:val="center"/>
        <w:rPr>
          <w:rStyle w:val="A0"/>
          <w:rFonts w:asciiTheme="minorHAnsi" w:hAnsiTheme="minorHAnsi" w:cstheme="minorHAnsi"/>
          <w:sz w:val="22"/>
          <w:szCs w:val="22"/>
        </w:rPr>
      </w:pPr>
    </w:p>
    <w:p w14:paraId="52971A2F" w14:textId="2B63D518" w:rsidR="009F1969" w:rsidRPr="007647B4" w:rsidRDefault="009F1969" w:rsidP="00A549C2">
      <w:pPr>
        <w:jc w:val="center"/>
        <w:rPr>
          <w:rFonts w:asciiTheme="minorHAnsi" w:hAnsiTheme="minorHAnsi" w:cstheme="minorHAnsi"/>
          <w:sz w:val="22"/>
          <w:szCs w:val="22"/>
        </w:rPr>
      </w:pPr>
      <w:r w:rsidRPr="007647B4">
        <w:rPr>
          <w:rStyle w:val="A0"/>
          <w:rFonts w:asciiTheme="minorHAnsi" w:hAnsiTheme="minorHAnsi" w:cstheme="minorHAnsi"/>
          <w:sz w:val="22"/>
          <w:szCs w:val="22"/>
        </w:rPr>
        <w:t xml:space="preserve">3) Or by </w:t>
      </w:r>
      <w:r w:rsidRPr="007647B4">
        <w:rPr>
          <w:rStyle w:val="A0"/>
          <w:rFonts w:asciiTheme="minorHAnsi" w:hAnsiTheme="minorHAnsi" w:cstheme="minorHAnsi"/>
          <w:b/>
          <w:sz w:val="22"/>
          <w:szCs w:val="22"/>
        </w:rPr>
        <w:t>attending a public hearing</w:t>
      </w:r>
      <w:r w:rsidRPr="007647B4">
        <w:rPr>
          <w:rStyle w:val="A0"/>
          <w:rFonts w:asciiTheme="minorHAnsi" w:hAnsiTheme="minorHAnsi" w:cstheme="minorHAnsi"/>
          <w:sz w:val="22"/>
          <w:szCs w:val="22"/>
        </w:rPr>
        <w:t>.</w:t>
      </w:r>
    </w:p>
    <w:p w14:paraId="09D45EEF" w14:textId="7EC95311" w:rsidR="009F1969" w:rsidRPr="007647B4" w:rsidRDefault="009F1969" w:rsidP="00A549C2">
      <w:pPr>
        <w:jc w:val="center"/>
        <w:rPr>
          <w:rFonts w:asciiTheme="minorHAnsi" w:hAnsiTheme="minorHAnsi" w:cstheme="minorHAnsi"/>
          <w:sz w:val="22"/>
          <w:szCs w:val="22"/>
        </w:rPr>
      </w:pPr>
      <w:r w:rsidRPr="007647B4">
        <w:rPr>
          <w:rFonts w:asciiTheme="minorHAnsi" w:hAnsiTheme="minorHAnsi" w:cstheme="minorHAnsi"/>
          <w:sz w:val="22"/>
          <w:szCs w:val="22"/>
        </w:rPr>
        <w:t xml:space="preserve">Hearing schedule can be found on the </w:t>
      </w:r>
      <w:r w:rsidR="00042805" w:rsidRPr="007647B4">
        <w:rPr>
          <w:rFonts w:asciiTheme="minorHAnsi" w:hAnsiTheme="minorHAnsi" w:cstheme="minorHAnsi"/>
          <w:sz w:val="22"/>
          <w:szCs w:val="22"/>
        </w:rPr>
        <w:t>CDPH website:</w:t>
      </w:r>
    </w:p>
    <w:p w14:paraId="0C84AC30" w14:textId="58B72A16" w:rsidR="00042805" w:rsidRPr="007647B4" w:rsidRDefault="00514595" w:rsidP="00A549C2">
      <w:pPr>
        <w:jc w:val="center"/>
        <w:rPr>
          <w:rFonts w:asciiTheme="minorHAnsi" w:hAnsiTheme="minorHAnsi" w:cstheme="minorHAnsi"/>
          <w:sz w:val="22"/>
          <w:szCs w:val="22"/>
        </w:rPr>
      </w:pPr>
      <w:hyperlink r:id="rId8" w:history="1">
        <w:r w:rsidR="00042805" w:rsidRPr="007647B4">
          <w:rPr>
            <w:rStyle w:val="Hyperlink"/>
            <w:rFonts w:asciiTheme="minorHAnsi" w:hAnsiTheme="minorHAnsi" w:cstheme="minorHAnsi"/>
            <w:sz w:val="22"/>
            <w:szCs w:val="22"/>
          </w:rPr>
          <w:t>https://www.cdph.ca.gov/Programs/CEH/DFDCS/MCSB/Pages/Rulemaking.aspx</w:t>
        </w:r>
      </w:hyperlink>
    </w:p>
    <w:p w14:paraId="334AB2D8" w14:textId="05D6691C" w:rsidR="009F1969" w:rsidRPr="007647B4" w:rsidRDefault="009F1969" w:rsidP="00A549C2">
      <w:pPr>
        <w:jc w:val="center"/>
        <w:rPr>
          <w:rFonts w:asciiTheme="minorHAnsi" w:hAnsiTheme="minorHAnsi" w:cstheme="minorHAnsi"/>
          <w:sz w:val="22"/>
          <w:szCs w:val="22"/>
        </w:rPr>
      </w:pPr>
    </w:p>
    <w:p w14:paraId="53BBCEE7" w14:textId="0D8B05DB" w:rsidR="009F1969" w:rsidRPr="007647B4" w:rsidRDefault="009F1969" w:rsidP="00A549C2">
      <w:pPr>
        <w:jc w:val="center"/>
        <w:rPr>
          <w:rFonts w:asciiTheme="minorHAnsi" w:hAnsiTheme="minorHAnsi" w:cstheme="minorHAnsi"/>
          <w:b/>
          <w:sz w:val="22"/>
          <w:szCs w:val="22"/>
        </w:rPr>
      </w:pPr>
      <w:r w:rsidRPr="007647B4">
        <w:rPr>
          <w:rFonts w:asciiTheme="minorHAnsi" w:hAnsiTheme="minorHAnsi" w:cstheme="minorHAnsi"/>
          <w:sz w:val="22"/>
          <w:szCs w:val="22"/>
        </w:rPr>
        <w:t xml:space="preserve">Mailed or emailed comments are due by 5pm PST on </w:t>
      </w:r>
      <w:r w:rsidRPr="007647B4">
        <w:rPr>
          <w:rFonts w:asciiTheme="minorHAnsi" w:hAnsiTheme="minorHAnsi" w:cstheme="minorHAnsi"/>
          <w:b/>
          <w:sz w:val="22"/>
          <w:szCs w:val="22"/>
        </w:rPr>
        <w:t>August 27, 2018</w:t>
      </w:r>
      <w:r w:rsidR="00042805" w:rsidRPr="007647B4">
        <w:rPr>
          <w:rFonts w:asciiTheme="minorHAnsi" w:hAnsiTheme="minorHAnsi" w:cstheme="minorHAnsi"/>
          <w:b/>
          <w:sz w:val="22"/>
          <w:szCs w:val="22"/>
        </w:rPr>
        <w:t>.</w:t>
      </w:r>
    </w:p>
    <w:p w14:paraId="66FD43DD" w14:textId="77777777" w:rsidR="009F1969" w:rsidRPr="007647B4" w:rsidRDefault="009F1969" w:rsidP="00A549C2">
      <w:pPr>
        <w:jc w:val="center"/>
        <w:rPr>
          <w:rFonts w:asciiTheme="minorHAnsi" w:hAnsiTheme="minorHAnsi" w:cstheme="minorHAnsi"/>
          <w:sz w:val="22"/>
          <w:szCs w:val="22"/>
        </w:rPr>
      </w:pPr>
    </w:p>
    <w:p w14:paraId="330FBBD7" w14:textId="767D4F51" w:rsidR="00AA4A14" w:rsidRPr="007647B4" w:rsidRDefault="009F1969" w:rsidP="00A549C2">
      <w:pPr>
        <w:jc w:val="center"/>
        <w:outlineLvl w:val="0"/>
        <w:rPr>
          <w:rFonts w:asciiTheme="minorHAnsi" w:hAnsiTheme="minorHAnsi" w:cstheme="minorHAnsi"/>
          <w:sz w:val="22"/>
          <w:szCs w:val="22"/>
        </w:rPr>
      </w:pPr>
      <w:r w:rsidRPr="007647B4">
        <w:rPr>
          <w:rFonts w:asciiTheme="minorHAnsi" w:hAnsiTheme="minorHAnsi" w:cstheme="minorHAnsi"/>
          <w:sz w:val="22"/>
          <w:szCs w:val="22"/>
        </w:rPr>
        <w:t xml:space="preserve">Highlighted, bracketed text </w:t>
      </w:r>
      <w:r w:rsidR="001E1684" w:rsidRPr="007647B4">
        <w:rPr>
          <w:rFonts w:asciiTheme="minorHAnsi" w:hAnsiTheme="minorHAnsi" w:cstheme="minorHAnsi"/>
          <w:sz w:val="22"/>
          <w:szCs w:val="22"/>
        </w:rPr>
        <w:t>indicates</w:t>
      </w:r>
      <w:r w:rsidRPr="007647B4">
        <w:rPr>
          <w:rFonts w:asciiTheme="minorHAnsi" w:hAnsiTheme="minorHAnsi" w:cstheme="minorHAnsi"/>
          <w:sz w:val="22"/>
          <w:szCs w:val="22"/>
        </w:rPr>
        <w:t xml:space="preserve"> sections that need to be filled in by the sender</w:t>
      </w:r>
      <w:r w:rsidR="00AA4A14" w:rsidRPr="007647B4">
        <w:rPr>
          <w:rFonts w:asciiTheme="minorHAnsi" w:hAnsiTheme="minorHAnsi" w:cstheme="minorHAnsi"/>
          <w:sz w:val="22"/>
          <w:szCs w:val="22"/>
        </w:rPr>
        <w:t>.</w:t>
      </w:r>
    </w:p>
    <w:p w14:paraId="1D216E39" w14:textId="1ED2B524" w:rsidR="009F1969" w:rsidRPr="007647B4" w:rsidRDefault="00AA4A14" w:rsidP="00A549C2">
      <w:pPr>
        <w:jc w:val="center"/>
        <w:outlineLvl w:val="0"/>
        <w:rPr>
          <w:rFonts w:asciiTheme="minorHAnsi" w:hAnsiTheme="minorHAnsi" w:cstheme="minorHAnsi"/>
          <w:sz w:val="22"/>
          <w:szCs w:val="22"/>
        </w:rPr>
      </w:pPr>
      <w:r w:rsidRPr="007647B4">
        <w:rPr>
          <w:rFonts w:asciiTheme="minorHAnsi" w:hAnsiTheme="minorHAnsi" w:cstheme="minorHAnsi"/>
          <w:sz w:val="22"/>
          <w:szCs w:val="22"/>
          <w:highlight w:val="yellow"/>
        </w:rPr>
        <w:t>This Instructions Page Should be Deleted prior to Submis</w:t>
      </w:r>
      <w:r w:rsidR="00A549C2" w:rsidRPr="007647B4">
        <w:rPr>
          <w:rFonts w:asciiTheme="minorHAnsi" w:hAnsiTheme="minorHAnsi" w:cstheme="minorHAnsi"/>
          <w:sz w:val="22"/>
          <w:szCs w:val="22"/>
          <w:highlight w:val="yellow"/>
        </w:rPr>
        <w:t>s</w:t>
      </w:r>
      <w:r w:rsidRPr="007647B4">
        <w:rPr>
          <w:rFonts w:asciiTheme="minorHAnsi" w:hAnsiTheme="minorHAnsi" w:cstheme="minorHAnsi"/>
          <w:sz w:val="22"/>
          <w:szCs w:val="22"/>
          <w:highlight w:val="yellow"/>
        </w:rPr>
        <w:t>ion.</w:t>
      </w:r>
    </w:p>
    <w:p w14:paraId="268E3AA1" w14:textId="77777777" w:rsidR="009F1969" w:rsidRPr="007647B4" w:rsidRDefault="009F1969" w:rsidP="001B433F">
      <w:pPr>
        <w:jc w:val="both"/>
        <w:rPr>
          <w:rFonts w:asciiTheme="minorHAnsi" w:hAnsiTheme="minorHAnsi" w:cstheme="minorHAnsi"/>
          <w:sz w:val="22"/>
          <w:szCs w:val="22"/>
        </w:rPr>
      </w:pPr>
    </w:p>
    <w:p w14:paraId="396BF5A0" w14:textId="77777777" w:rsidR="009F1969" w:rsidRPr="007647B4" w:rsidRDefault="009F1969" w:rsidP="001B433F">
      <w:pPr>
        <w:jc w:val="both"/>
        <w:rPr>
          <w:rFonts w:asciiTheme="minorHAnsi" w:hAnsiTheme="minorHAnsi" w:cstheme="minorHAnsi"/>
          <w:sz w:val="22"/>
          <w:szCs w:val="22"/>
        </w:rPr>
      </w:pPr>
      <w:r w:rsidRPr="007647B4">
        <w:rPr>
          <w:rFonts w:asciiTheme="minorHAnsi" w:hAnsiTheme="minorHAnsi" w:cstheme="minorHAnsi"/>
          <w:sz w:val="22"/>
          <w:szCs w:val="22"/>
        </w:rPr>
        <w:br w:type="page"/>
      </w:r>
    </w:p>
    <w:p w14:paraId="7DBACB5F" w14:textId="77777777" w:rsidR="009F1969" w:rsidRPr="007647B4" w:rsidRDefault="009F1969" w:rsidP="001B433F">
      <w:pPr>
        <w:ind w:left="5040" w:firstLine="720"/>
        <w:jc w:val="both"/>
        <w:rPr>
          <w:rFonts w:asciiTheme="minorHAnsi" w:hAnsiTheme="minorHAnsi" w:cstheme="minorHAnsi"/>
          <w:sz w:val="22"/>
          <w:szCs w:val="22"/>
        </w:rPr>
      </w:pPr>
      <w:r w:rsidRPr="007647B4">
        <w:rPr>
          <w:rFonts w:asciiTheme="minorHAnsi" w:hAnsiTheme="minorHAnsi" w:cstheme="minorHAnsi"/>
          <w:sz w:val="22"/>
          <w:szCs w:val="22"/>
          <w:highlight w:val="yellow"/>
        </w:rPr>
        <w:lastRenderedPageBreak/>
        <w:t>[INSERT DATE]</w:t>
      </w:r>
    </w:p>
    <w:p w14:paraId="4C29FEBF" w14:textId="19B992CB" w:rsidR="00042805" w:rsidRPr="007647B4" w:rsidRDefault="009F1969" w:rsidP="001B433F">
      <w:pPr>
        <w:jc w:val="both"/>
        <w:rPr>
          <w:rStyle w:val="A0"/>
          <w:rFonts w:asciiTheme="minorHAnsi" w:hAnsiTheme="minorHAnsi" w:cstheme="minorHAnsi"/>
          <w:sz w:val="22"/>
          <w:szCs w:val="22"/>
        </w:rPr>
      </w:pPr>
      <w:r w:rsidRPr="007647B4">
        <w:rPr>
          <w:rFonts w:asciiTheme="minorHAnsi" w:hAnsiTheme="minorHAnsi" w:cstheme="minorHAnsi"/>
          <w:color w:val="000000"/>
          <w:sz w:val="22"/>
          <w:szCs w:val="22"/>
        </w:rPr>
        <w:br/>
      </w:r>
      <w:r w:rsidR="00042805" w:rsidRPr="007647B4">
        <w:rPr>
          <w:rStyle w:val="A0"/>
          <w:rFonts w:asciiTheme="minorHAnsi" w:hAnsiTheme="minorHAnsi" w:cstheme="minorHAnsi"/>
          <w:sz w:val="22"/>
          <w:szCs w:val="22"/>
        </w:rPr>
        <w:t>CDPH Office of Regulations</w:t>
      </w:r>
    </w:p>
    <w:p w14:paraId="021EC872" w14:textId="285D309F" w:rsidR="00042805" w:rsidRPr="007647B4" w:rsidRDefault="00A549C2" w:rsidP="001B433F">
      <w:pPr>
        <w:jc w:val="both"/>
        <w:rPr>
          <w:rStyle w:val="A0"/>
          <w:rFonts w:asciiTheme="minorHAnsi" w:hAnsiTheme="minorHAnsi" w:cstheme="minorHAnsi"/>
          <w:sz w:val="22"/>
          <w:szCs w:val="22"/>
        </w:rPr>
      </w:pPr>
      <w:r w:rsidRPr="007647B4">
        <w:rPr>
          <w:rFonts w:asciiTheme="minorHAnsi" w:hAnsiTheme="minorHAnsi" w:cstheme="minorHAnsi"/>
          <w:color w:val="202020"/>
          <w:sz w:val="22"/>
          <w:szCs w:val="22"/>
        </w:rPr>
        <w:t>1415 L Street</w:t>
      </w:r>
      <w:r w:rsidR="00042805" w:rsidRPr="007647B4">
        <w:rPr>
          <w:rStyle w:val="A0"/>
          <w:rFonts w:asciiTheme="minorHAnsi" w:hAnsiTheme="minorHAnsi" w:cstheme="minorHAnsi"/>
          <w:sz w:val="22"/>
          <w:szCs w:val="22"/>
        </w:rPr>
        <w:t>, Suite 500</w:t>
      </w:r>
    </w:p>
    <w:p w14:paraId="1A998D77" w14:textId="77777777" w:rsidR="00A549C2" w:rsidRPr="007647B4" w:rsidRDefault="00042805" w:rsidP="001B433F">
      <w:pPr>
        <w:jc w:val="both"/>
        <w:rPr>
          <w:rStyle w:val="A0"/>
          <w:rFonts w:asciiTheme="minorHAnsi" w:hAnsiTheme="minorHAnsi" w:cstheme="minorHAnsi"/>
          <w:sz w:val="22"/>
          <w:szCs w:val="22"/>
        </w:rPr>
      </w:pPr>
      <w:r w:rsidRPr="007647B4">
        <w:rPr>
          <w:rStyle w:val="A0"/>
          <w:rFonts w:asciiTheme="minorHAnsi" w:hAnsiTheme="minorHAnsi" w:cstheme="minorHAnsi"/>
          <w:sz w:val="22"/>
          <w:szCs w:val="22"/>
        </w:rPr>
        <w:t>Sacramento, CA 95814</w:t>
      </w:r>
    </w:p>
    <w:p w14:paraId="363F19AC" w14:textId="3FE8BADB" w:rsidR="00A549C2" w:rsidRPr="007647B4" w:rsidRDefault="00514595" w:rsidP="001B433F">
      <w:pPr>
        <w:jc w:val="both"/>
        <w:rPr>
          <w:rFonts w:asciiTheme="minorHAnsi" w:hAnsiTheme="minorHAnsi" w:cstheme="minorHAnsi"/>
          <w:color w:val="000000" w:themeColor="text1"/>
          <w:sz w:val="22"/>
          <w:szCs w:val="22"/>
        </w:rPr>
      </w:pPr>
      <w:hyperlink r:id="rId9" w:history="1">
        <w:r w:rsidR="00A549C2" w:rsidRPr="007647B4">
          <w:rPr>
            <w:rStyle w:val="Strong"/>
            <w:rFonts w:asciiTheme="minorHAnsi" w:hAnsiTheme="minorHAnsi" w:cstheme="minorHAnsi"/>
            <w:b w:val="0"/>
            <w:color w:val="000000" w:themeColor="text1"/>
            <w:sz w:val="22"/>
            <w:szCs w:val="22"/>
          </w:rPr>
          <w:t>regulations@cdph.ca.gov</w:t>
        </w:r>
      </w:hyperlink>
    </w:p>
    <w:p w14:paraId="13EBCAC1" w14:textId="051A7E27" w:rsidR="00A549C2" w:rsidRPr="007647B4" w:rsidRDefault="00A549C2" w:rsidP="001B433F">
      <w:pPr>
        <w:pStyle w:val="NormalWeb"/>
        <w:shd w:val="clear" w:color="auto" w:fill="FFFFFF"/>
        <w:spacing w:before="0" w:beforeAutospacing="0" w:after="150" w:afterAutospacing="0"/>
        <w:rPr>
          <w:rStyle w:val="A0"/>
          <w:rFonts w:asciiTheme="minorHAnsi" w:hAnsiTheme="minorHAnsi" w:cstheme="minorHAnsi"/>
          <w:color w:val="202020"/>
          <w:sz w:val="22"/>
          <w:szCs w:val="22"/>
        </w:rPr>
      </w:pPr>
      <w:r w:rsidRPr="00D32EBA">
        <w:rPr>
          <w:rStyle w:val="A0"/>
          <w:rFonts w:asciiTheme="minorHAnsi" w:eastAsiaTheme="minorHAnsi" w:hAnsiTheme="minorHAnsi" w:cstheme="minorHAnsi"/>
          <w:sz w:val="22"/>
          <w:szCs w:val="22"/>
        </w:rPr>
        <w:t>Re:</w:t>
      </w:r>
      <w:r w:rsidR="00DA6B6F" w:rsidRPr="00D32EBA">
        <w:rPr>
          <w:rStyle w:val="A0"/>
          <w:rFonts w:asciiTheme="minorHAnsi" w:eastAsiaTheme="minorHAnsi" w:hAnsiTheme="minorHAnsi" w:cstheme="minorHAnsi"/>
          <w:sz w:val="22"/>
          <w:szCs w:val="22"/>
        </w:rPr>
        <w:t xml:space="preserve"> </w:t>
      </w:r>
      <w:r w:rsidRPr="00D32EBA">
        <w:rPr>
          <w:rFonts w:asciiTheme="minorHAnsi" w:hAnsiTheme="minorHAnsi" w:cstheme="minorHAnsi"/>
          <w:color w:val="202020"/>
          <w:sz w:val="22"/>
          <w:szCs w:val="22"/>
        </w:rPr>
        <w:t>(DPH-17-010)</w:t>
      </w:r>
    </w:p>
    <w:p w14:paraId="79C01BC4" w14:textId="7D4163F7" w:rsidR="009F1969" w:rsidRPr="007647B4" w:rsidRDefault="009F1969" w:rsidP="001B433F">
      <w:pPr>
        <w:jc w:val="both"/>
        <w:rPr>
          <w:rFonts w:asciiTheme="minorHAnsi" w:hAnsiTheme="minorHAnsi" w:cstheme="minorHAnsi"/>
          <w:sz w:val="22"/>
          <w:szCs w:val="22"/>
        </w:rPr>
      </w:pPr>
    </w:p>
    <w:p w14:paraId="59F61C92" w14:textId="77777777" w:rsidR="009F1969" w:rsidRPr="007647B4" w:rsidRDefault="009F1969" w:rsidP="001B433F">
      <w:pPr>
        <w:jc w:val="both"/>
        <w:rPr>
          <w:rFonts w:asciiTheme="minorHAnsi" w:hAnsiTheme="minorHAnsi" w:cstheme="minorHAnsi"/>
          <w:b/>
          <w:sz w:val="22"/>
          <w:szCs w:val="22"/>
        </w:rPr>
      </w:pPr>
    </w:p>
    <w:p w14:paraId="51B2FC4F" w14:textId="2DE0937F" w:rsidR="009F1969" w:rsidRPr="007647B4" w:rsidRDefault="009F1969" w:rsidP="001B433F">
      <w:pPr>
        <w:jc w:val="center"/>
        <w:outlineLvl w:val="0"/>
        <w:rPr>
          <w:rFonts w:asciiTheme="minorHAnsi" w:hAnsiTheme="minorHAnsi" w:cstheme="minorHAnsi"/>
          <w:b/>
          <w:sz w:val="22"/>
          <w:szCs w:val="22"/>
        </w:rPr>
      </w:pPr>
      <w:r w:rsidRPr="007647B4">
        <w:rPr>
          <w:rFonts w:asciiTheme="minorHAnsi" w:hAnsiTheme="minorHAnsi" w:cstheme="minorHAnsi"/>
          <w:b/>
          <w:sz w:val="22"/>
          <w:szCs w:val="22"/>
        </w:rPr>
        <w:t xml:space="preserve">Comment on </w:t>
      </w:r>
      <w:r w:rsidR="00042805" w:rsidRPr="007647B4">
        <w:rPr>
          <w:rFonts w:asciiTheme="minorHAnsi" w:hAnsiTheme="minorHAnsi" w:cstheme="minorHAnsi"/>
          <w:b/>
          <w:sz w:val="22"/>
          <w:szCs w:val="22"/>
        </w:rPr>
        <w:t>California Department of Public Health, Manufactured Cannabis Safety Branch,</w:t>
      </w:r>
      <w:r w:rsidRPr="007647B4">
        <w:rPr>
          <w:rFonts w:asciiTheme="minorHAnsi" w:hAnsiTheme="minorHAnsi" w:cstheme="minorHAnsi"/>
          <w:b/>
          <w:sz w:val="22"/>
          <w:szCs w:val="22"/>
        </w:rPr>
        <w:t xml:space="preserve"> Proposed Text of Regulations</w:t>
      </w:r>
    </w:p>
    <w:p w14:paraId="5A86326C" w14:textId="5CF7EC10" w:rsidR="009F1969" w:rsidRPr="007647B4" w:rsidRDefault="009F1969" w:rsidP="001B433F">
      <w:pPr>
        <w:jc w:val="center"/>
        <w:rPr>
          <w:rFonts w:asciiTheme="minorHAnsi" w:hAnsiTheme="minorHAnsi" w:cstheme="minorHAnsi"/>
          <w:sz w:val="22"/>
          <w:szCs w:val="22"/>
        </w:rPr>
      </w:pPr>
      <w:r w:rsidRPr="007647B4">
        <w:rPr>
          <w:rFonts w:asciiTheme="minorHAnsi" w:hAnsiTheme="minorHAnsi" w:cstheme="minorHAnsi"/>
          <w:b/>
          <w:sz w:val="22"/>
          <w:szCs w:val="22"/>
        </w:rPr>
        <w:t>CALIFOR</w:t>
      </w:r>
      <w:r w:rsidR="00042805" w:rsidRPr="007647B4">
        <w:rPr>
          <w:rFonts w:asciiTheme="minorHAnsi" w:hAnsiTheme="minorHAnsi" w:cstheme="minorHAnsi"/>
          <w:b/>
          <w:sz w:val="22"/>
          <w:szCs w:val="22"/>
        </w:rPr>
        <w:t>NIA CODE OF REGULATIONS TITLE 17</w:t>
      </w:r>
      <w:r w:rsidRPr="007647B4">
        <w:rPr>
          <w:rFonts w:asciiTheme="minorHAnsi" w:hAnsiTheme="minorHAnsi" w:cstheme="minorHAnsi"/>
          <w:b/>
          <w:sz w:val="22"/>
          <w:szCs w:val="22"/>
        </w:rPr>
        <w:t xml:space="preserve">, DIVISION </w:t>
      </w:r>
      <w:r w:rsidR="00042805" w:rsidRPr="007647B4">
        <w:rPr>
          <w:rFonts w:asciiTheme="minorHAnsi" w:hAnsiTheme="minorHAnsi" w:cstheme="minorHAnsi"/>
          <w:b/>
          <w:sz w:val="22"/>
          <w:szCs w:val="22"/>
        </w:rPr>
        <w:t>1, CHAPTER 13</w:t>
      </w:r>
      <w:r w:rsidRPr="007647B4">
        <w:rPr>
          <w:rFonts w:asciiTheme="minorHAnsi" w:hAnsiTheme="minorHAnsi" w:cstheme="minorHAnsi"/>
          <w:b/>
          <w:sz w:val="22"/>
          <w:szCs w:val="22"/>
        </w:rPr>
        <w:br/>
      </w:r>
      <w:r w:rsidR="00042805" w:rsidRPr="007647B4">
        <w:rPr>
          <w:rFonts w:asciiTheme="minorHAnsi" w:hAnsiTheme="minorHAnsi" w:cstheme="minorHAnsi"/>
          <w:b/>
          <w:sz w:val="22"/>
          <w:szCs w:val="22"/>
        </w:rPr>
        <w:t>MANUFACTURED CANNABIS SAFETY</w:t>
      </w:r>
      <w:r w:rsidRPr="007647B4">
        <w:rPr>
          <w:rFonts w:asciiTheme="minorHAnsi" w:hAnsiTheme="minorHAnsi" w:cstheme="minorHAnsi"/>
          <w:sz w:val="22"/>
          <w:szCs w:val="22"/>
        </w:rPr>
        <w:br/>
      </w:r>
    </w:p>
    <w:p w14:paraId="69493D43" w14:textId="77777777" w:rsidR="009F1969" w:rsidRPr="007647B4" w:rsidRDefault="009F1969" w:rsidP="001B433F">
      <w:pPr>
        <w:jc w:val="both"/>
        <w:outlineLvl w:val="0"/>
        <w:rPr>
          <w:rFonts w:asciiTheme="minorHAnsi" w:hAnsiTheme="minorHAnsi" w:cstheme="minorHAnsi"/>
          <w:b/>
          <w:sz w:val="22"/>
          <w:szCs w:val="22"/>
        </w:rPr>
      </w:pPr>
      <w:r w:rsidRPr="007647B4">
        <w:rPr>
          <w:rFonts w:asciiTheme="minorHAnsi" w:hAnsiTheme="minorHAnsi" w:cstheme="minorHAnsi"/>
          <w:b/>
          <w:sz w:val="22"/>
          <w:szCs w:val="22"/>
        </w:rPr>
        <w:t>Comment Summary:</w:t>
      </w:r>
    </w:p>
    <w:p w14:paraId="39C01FFD" w14:textId="77777777" w:rsidR="009F1969" w:rsidRPr="007647B4" w:rsidRDefault="009F1969" w:rsidP="00A549C2">
      <w:pPr>
        <w:jc w:val="both"/>
        <w:rPr>
          <w:rFonts w:asciiTheme="minorHAnsi" w:hAnsiTheme="minorHAnsi" w:cstheme="minorHAnsi"/>
          <w:b/>
          <w:sz w:val="22"/>
          <w:szCs w:val="22"/>
        </w:rPr>
      </w:pPr>
    </w:p>
    <w:p w14:paraId="41F61065" w14:textId="51CDB34F" w:rsidR="009F1969" w:rsidRPr="007647B4" w:rsidRDefault="00420DEB" w:rsidP="001B433F">
      <w:pPr>
        <w:jc w:val="both"/>
        <w:rPr>
          <w:rFonts w:asciiTheme="minorHAnsi" w:hAnsiTheme="minorHAnsi" w:cstheme="minorHAnsi"/>
          <w:caps/>
          <w:color w:val="000000" w:themeColor="text1"/>
          <w:sz w:val="22"/>
          <w:szCs w:val="22"/>
        </w:rPr>
      </w:pPr>
      <w:r w:rsidRPr="007647B4">
        <w:rPr>
          <w:rFonts w:asciiTheme="minorHAnsi" w:hAnsiTheme="minorHAnsi" w:cstheme="minorHAnsi"/>
          <w:b/>
          <w:caps/>
          <w:color w:val="000000" w:themeColor="text1"/>
          <w:sz w:val="22"/>
          <w:szCs w:val="22"/>
        </w:rPr>
        <w:t xml:space="preserve">proposed regulations incorporate some positive steps which we strongly support. </w:t>
      </w:r>
      <w:r w:rsidR="00042805" w:rsidRPr="007647B4">
        <w:rPr>
          <w:rFonts w:asciiTheme="minorHAnsi" w:hAnsiTheme="minorHAnsi" w:cstheme="minorHAnsi"/>
          <w:b/>
          <w:caps/>
          <w:color w:val="000000" w:themeColor="text1"/>
          <w:sz w:val="22"/>
          <w:szCs w:val="22"/>
        </w:rPr>
        <w:t>However</w:t>
      </w:r>
      <w:r w:rsidR="001B433F" w:rsidRPr="007647B4">
        <w:rPr>
          <w:rFonts w:asciiTheme="minorHAnsi" w:hAnsiTheme="minorHAnsi" w:cstheme="minorHAnsi"/>
          <w:b/>
          <w:caps/>
          <w:color w:val="000000" w:themeColor="text1"/>
          <w:sz w:val="22"/>
          <w:szCs w:val="22"/>
        </w:rPr>
        <w:t xml:space="preserve">, </w:t>
      </w:r>
      <w:r w:rsidR="00042805" w:rsidRPr="007647B4">
        <w:rPr>
          <w:rFonts w:asciiTheme="minorHAnsi" w:hAnsiTheme="minorHAnsi" w:cstheme="minorHAnsi"/>
          <w:b/>
          <w:caps/>
          <w:color w:val="000000" w:themeColor="text1"/>
          <w:sz w:val="22"/>
          <w:szCs w:val="22"/>
        </w:rPr>
        <w:t xml:space="preserve">incorporating </w:t>
      </w:r>
      <w:r w:rsidR="003366F6" w:rsidRPr="007647B4">
        <w:rPr>
          <w:rFonts w:asciiTheme="minorHAnsi" w:hAnsiTheme="minorHAnsi" w:cstheme="minorHAnsi"/>
          <w:b/>
          <w:caps/>
          <w:color w:val="000000" w:themeColor="text1"/>
          <w:sz w:val="22"/>
          <w:szCs w:val="22"/>
        </w:rPr>
        <w:t>lessons learned</w:t>
      </w:r>
      <w:r w:rsidR="007647B4">
        <w:rPr>
          <w:rFonts w:asciiTheme="minorHAnsi" w:hAnsiTheme="minorHAnsi" w:cstheme="minorHAnsi"/>
          <w:b/>
          <w:caps/>
          <w:color w:val="000000" w:themeColor="text1"/>
          <w:sz w:val="22"/>
          <w:szCs w:val="22"/>
        </w:rPr>
        <w:t xml:space="preserve"> from tobacco, </w:t>
      </w:r>
      <w:r w:rsidR="00042805" w:rsidRPr="007647B4">
        <w:rPr>
          <w:rFonts w:asciiTheme="minorHAnsi" w:hAnsiTheme="minorHAnsi" w:cstheme="minorHAnsi"/>
          <w:b/>
          <w:caps/>
          <w:color w:val="000000" w:themeColor="text1"/>
          <w:sz w:val="22"/>
          <w:szCs w:val="22"/>
        </w:rPr>
        <w:t xml:space="preserve">alcohol </w:t>
      </w:r>
      <w:r w:rsidR="007647B4">
        <w:rPr>
          <w:rFonts w:asciiTheme="minorHAnsi" w:hAnsiTheme="minorHAnsi" w:cstheme="minorHAnsi"/>
          <w:b/>
          <w:caps/>
          <w:color w:val="000000" w:themeColor="text1"/>
          <w:sz w:val="22"/>
          <w:szCs w:val="22"/>
        </w:rPr>
        <w:t xml:space="preserve">AND PHARMACEUTICAL </w:t>
      </w:r>
      <w:r w:rsidR="00042805" w:rsidRPr="007647B4">
        <w:rPr>
          <w:rFonts w:asciiTheme="minorHAnsi" w:hAnsiTheme="minorHAnsi" w:cstheme="minorHAnsi"/>
          <w:b/>
          <w:caps/>
          <w:color w:val="000000" w:themeColor="text1"/>
          <w:sz w:val="22"/>
          <w:szCs w:val="22"/>
        </w:rPr>
        <w:t>regulation</w:t>
      </w:r>
      <w:r w:rsidR="00B75FAB" w:rsidRPr="007647B4">
        <w:rPr>
          <w:rFonts w:asciiTheme="minorHAnsi" w:hAnsiTheme="minorHAnsi" w:cstheme="minorHAnsi"/>
          <w:b/>
          <w:caps/>
          <w:color w:val="000000" w:themeColor="text1"/>
          <w:sz w:val="22"/>
          <w:szCs w:val="22"/>
        </w:rPr>
        <w:t xml:space="preserve"> </w:t>
      </w:r>
      <w:r w:rsidR="00042805" w:rsidRPr="007647B4">
        <w:rPr>
          <w:rFonts w:asciiTheme="minorHAnsi" w:hAnsiTheme="minorHAnsi" w:cstheme="minorHAnsi"/>
          <w:b/>
          <w:caps/>
          <w:color w:val="000000" w:themeColor="text1"/>
          <w:sz w:val="22"/>
          <w:szCs w:val="22"/>
        </w:rPr>
        <w:t>is urgently necessary to protect public health</w:t>
      </w:r>
      <w:r w:rsidR="003366F6" w:rsidRPr="007647B4">
        <w:rPr>
          <w:rFonts w:asciiTheme="minorHAnsi" w:hAnsiTheme="minorHAnsi" w:cstheme="minorHAnsi"/>
          <w:b/>
          <w:caps/>
          <w:color w:val="000000" w:themeColor="text1"/>
          <w:sz w:val="22"/>
          <w:szCs w:val="22"/>
        </w:rPr>
        <w:t xml:space="preserve">. These </w:t>
      </w:r>
      <w:r w:rsidR="007647B4">
        <w:rPr>
          <w:rFonts w:asciiTheme="minorHAnsi" w:hAnsiTheme="minorHAnsi" w:cstheme="minorHAnsi"/>
          <w:b/>
          <w:caps/>
          <w:color w:val="000000" w:themeColor="text1"/>
          <w:sz w:val="22"/>
          <w:szCs w:val="22"/>
        </w:rPr>
        <w:t xml:space="preserve">MEASURES </w:t>
      </w:r>
      <w:r w:rsidR="003366F6" w:rsidRPr="007647B4">
        <w:rPr>
          <w:rFonts w:asciiTheme="minorHAnsi" w:hAnsiTheme="minorHAnsi" w:cstheme="minorHAnsi"/>
          <w:b/>
          <w:caps/>
          <w:color w:val="000000" w:themeColor="text1"/>
          <w:sz w:val="22"/>
          <w:szCs w:val="22"/>
        </w:rPr>
        <w:t>include</w:t>
      </w:r>
      <w:r w:rsidR="00DA6B6F" w:rsidRPr="007647B4">
        <w:rPr>
          <w:rFonts w:asciiTheme="minorHAnsi" w:hAnsiTheme="minorHAnsi" w:cstheme="minorHAnsi"/>
          <w:b/>
          <w:caps/>
          <w:color w:val="000000" w:themeColor="text1"/>
          <w:sz w:val="22"/>
          <w:szCs w:val="22"/>
        </w:rPr>
        <w:t xml:space="preserve"> </w:t>
      </w:r>
      <w:r w:rsidRPr="007647B4">
        <w:rPr>
          <w:rFonts w:asciiTheme="minorHAnsi" w:hAnsiTheme="minorHAnsi" w:cstheme="minorHAnsi"/>
          <w:b/>
          <w:caps/>
          <w:color w:val="000000" w:themeColor="text1"/>
          <w:sz w:val="22"/>
          <w:szCs w:val="22"/>
        </w:rPr>
        <w:t xml:space="preserve">prohibiting manufactured cannabis products that are of particularly high risk or </w:t>
      </w:r>
      <w:r w:rsidR="003366F6" w:rsidRPr="007647B4">
        <w:rPr>
          <w:rFonts w:asciiTheme="minorHAnsi" w:hAnsiTheme="minorHAnsi" w:cstheme="minorHAnsi"/>
          <w:b/>
          <w:caps/>
          <w:color w:val="000000" w:themeColor="text1"/>
          <w:sz w:val="22"/>
          <w:szCs w:val="22"/>
        </w:rPr>
        <w:t>used to attract</w:t>
      </w:r>
      <w:r w:rsidR="00DA6B6F" w:rsidRPr="007647B4">
        <w:rPr>
          <w:rFonts w:asciiTheme="minorHAnsi" w:hAnsiTheme="minorHAnsi" w:cstheme="minorHAnsi"/>
          <w:b/>
          <w:caps/>
          <w:color w:val="000000" w:themeColor="text1"/>
          <w:sz w:val="22"/>
          <w:szCs w:val="22"/>
        </w:rPr>
        <w:t xml:space="preserve"> </w:t>
      </w:r>
      <w:r w:rsidRPr="007647B4">
        <w:rPr>
          <w:rFonts w:asciiTheme="minorHAnsi" w:hAnsiTheme="minorHAnsi" w:cstheme="minorHAnsi"/>
          <w:b/>
          <w:caps/>
          <w:color w:val="000000" w:themeColor="text1"/>
          <w:sz w:val="22"/>
          <w:szCs w:val="22"/>
        </w:rPr>
        <w:t>children and youth, including high potency flower and conceNtrates, flavored products, cannabis b</w:t>
      </w:r>
      <w:r w:rsidR="003366F6" w:rsidRPr="007647B4">
        <w:rPr>
          <w:rFonts w:asciiTheme="minorHAnsi" w:hAnsiTheme="minorHAnsi" w:cstheme="minorHAnsi"/>
          <w:b/>
          <w:caps/>
          <w:color w:val="000000" w:themeColor="text1"/>
          <w:sz w:val="22"/>
          <w:szCs w:val="22"/>
        </w:rPr>
        <w:t>everages, and infused pre-rolls</w:t>
      </w:r>
      <w:r w:rsidR="008A3296">
        <w:rPr>
          <w:rFonts w:asciiTheme="minorHAnsi" w:hAnsiTheme="minorHAnsi" w:cstheme="minorHAnsi"/>
          <w:b/>
          <w:caps/>
          <w:color w:val="000000" w:themeColor="text1"/>
          <w:sz w:val="22"/>
          <w:szCs w:val="22"/>
        </w:rPr>
        <w:t xml:space="preserve"> and commissioning a full evaluation of potential public helth impact of these products free of conflicts of interest</w:t>
      </w:r>
      <w:bookmarkStart w:id="0" w:name="_GoBack"/>
      <w:bookmarkEnd w:id="0"/>
      <w:r w:rsidR="003366F6" w:rsidRPr="007647B4">
        <w:rPr>
          <w:rFonts w:asciiTheme="minorHAnsi" w:hAnsiTheme="minorHAnsi" w:cstheme="minorHAnsi"/>
          <w:b/>
          <w:caps/>
          <w:color w:val="000000" w:themeColor="text1"/>
          <w:sz w:val="22"/>
          <w:szCs w:val="22"/>
        </w:rPr>
        <w:t xml:space="preserve">; </w:t>
      </w:r>
      <w:r w:rsidR="006D5370" w:rsidRPr="007647B4">
        <w:rPr>
          <w:rFonts w:asciiTheme="minorHAnsi" w:hAnsiTheme="minorHAnsi" w:cstheme="minorHAnsi"/>
          <w:b/>
          <w:caps/>
          <w:color w:val="000000" w:themeColor="text1"/>
          <w:sz w:val="22"/>
          <w:szCs w:val="22"/>
        </w:rPr>
        <w:t>reinstating the essential protection of children from acciden</w:t>
      </w:r>
      <w:r w:rsidR="00D32EBA">
        <w:rPr>
          <w:rFonts w:asciiTheme="minorHAnsi" w:hAnsiTheme="minorHAnsi" w:cstheme="minorHAnsi"/>
          <w:b/>
          <w:caps/>
          <w:color w:val="000000" w:themeColor="text1"/>
          <w:sz w:val="22"/>
          <w:szCs w:val="22"/>
        </w:rPr>
        <w:t>tal ingestion through child RESISTANT</w:t>
      </w:r>
      <w:r w:rsidR="006D5370" w:rsidRPr="007647B4">
        <w:rPr>
          <w:rFonts w:asciiTheme="minorHAnsi" w:hAnsiTheme="minorHAnsi" w:cstheme="minorHAnsi"/>
          <w:b/>
          <w:caps/>
          <w:color w:val="000000" w:themeColor="text1"/>
          <w:sz w:val="22"/>
          <w:szCs w:val="22"/>
        </w:rPr>
        <w:t xml:space="preserve"> packaging; </w:t>
      </w:r>
      <w:r w:rsidR="003366F6" w:rsidRPr="007647B4">
        <w:rPr>
          <w:rFonts w:asciiTheme="minorHAnsi" w:hAnsiTheme="minorHAnsi" w:cstheme="minorHAnsi"/>
          <w:b/>
          <w:caps/>
          <w:color w:val="000000" w:themeColor="text1"/>
          <w:sz w:val="22"/>
          <w:szCs w:val="22"/>
        </w:rPr>
        <w:t>as</w:t>
      </w:r>
      <w:r w:rsidR="001E1684" w:rsidRPr="007647B4">
        <w:rPr>
          <w:rFonts w:asciiTheme="minorHAnsi" w:hAnsiTheme="minorHAnsi" w:cstheme="minorHAnsi"/>
          <w:b/>
          <w:caps/>
          <w:color w:val="000000" w:themeColor="text1"/>
          <w:sz w:val="22"/>
          <w:szCs w:val="22"/>
        </w:rPr>
        <w:t>S</w:t>
      </w:r>
      <w:r w:rsidR="003366F6" w:rsidRPr="007647B4">
        <w:rPr>
          <w:rFonts w:asciiTheme="minorHAnsi" w:hAnsiTheme="minorHAnsi" w:cstheme="minorHAnsi"/>
          <w:b/>
          <w:caps/>
          <w:color w:val="000000" w:themeColor="text1"/>
          <w:sz w:val="22"/>
          <w:szCs w:val="22"/>
        </w:rPr>
        <w:t>uring</w:t>
      </w:r>
      <w:r w:rsidR="00DA6B6F" w:rsidRPr="007647B4">
        <w:rPr>
          <w:rFonts w:asciiTheme="minorHAnsi" w:hAnsiTheme="minorHAnsi" w:cstheme="minorHAnsi"/>
          <w:b/>
          <w:caps/>
          <w:color w:val="000000" w:themeColor="text1"/>
          <w:sz w:val="22"/>
          <w:szCs w:val="22"/>
        </w:rPr>
        <w:t xml:space="preserve"> </w:t>
      </w:r>
      <w:r w:rsidR="00237BF4" w:rsidRPr="007647B4">
        <w:rPr>
          <w:rFonts w:asciiTheme="minorHAnsi" w:hAnsiTheme="minorHAnsi" w:cstheme="minorHAnsi"/>
          <w:b/>
          <w:caps/>
          <w:color w:val="000000" w:themeColor="text1"/>
          <w:sz w:val="22"/>
          <w:szCs w:val="22"/>
        </w:rPr>
        <w:t>legible</w:t>
      </w:r>
      <w:r w:rsidR="00DA6B6F" w:rsidRPr="007647B4">
        <w:rPr>
          <w:rFonts w:asciiTheme="minorHAnsi" w:hAnsiTheme="minorHAnsi" w:cstheme="minorHAnsi"/>
          <w:b/>
          <w:caps/>
          <w:color w:val="000000" w:themeColor="text1"/>
          <w:sz w:val="22"/>
          <w:szCs w:val="22"/>
        </w:rPr>
        <w:t xml:space="preserve"> </w:t>
      </w:r>
      <w:r w:rsidR="00237BF4" w:rsidRPr="007647B4">
        <w:rPr>
          <w:rFonts w:asciiTheme="minorHAnsi" w:hAnsiTheme="minorHAnsi" w:cstheme="minorHAnsi"/>
          <w:b/>
          <w:caps/>
          <w:color w:val="000000" w:themeColor="text1"/>
          <w:sz w:val="22"/>
          <w:szCs w:val="22"/>
        </w:rPr>
        <w:t>prominent warnings</w:t>
      </w:r>
      <w:r w:rsidR="007647B4">
        <w:rPr>
          <w:rFonts w:asciiTheme="minorHAnsi" w:hAnsiTheme="minorHAnsi" w:cstheme="minorHAnsi"/>
          <w:b/>
          <w:caps/>
          <w:color w:val="000000" w:themeColor="text1"/>
          <w:sz w:val="22"/>
          <w:szCs w:val="22"/>
        </w:rPr>
        <w:t xml:space="preserve">, COMPLIANT WITH LEGAL REQUIREMENTS, </w:t>
      </w:r>
      <w:r w:rsidR="00237BF4" w:rsidRPr="007647B4">
        <w:rPr>
          <w:rFonts w:asciiTheme="minorHAnsi" w:hAnsiTheme="minorHAnsi" w:cstheme="minorHAnsi"/>
          <w:b/>
          <w:caps/>
          <w:color w:val="000000" w:themeColor="text1"/>
          <w:sz w:val="22"/>
          <w:szCs w:val="22"/>
        </w:rPr>
        <w:t xml:space="preserve"> that </w:t>
      </w:r>
      <w:r w:rsidR="00042805" w:rsidRPr="007647B4">
        <w:rPr>
          <w:rFonts w:asciiTheme="minorHAnsi" w:hAnsiTheme="minorHAnsi" w:cstheme="minorHAnsi"/>
          <w:b/>
          <w:caps/>
          <w:color w:val="000000" w:themeColor="text1"/>
          <w:sz w:val="22"/>
          <w:szCs w:val="22"/>
        </w:rPr>
        <w:t>inform consumers</w:t>
      </w:r>
      <w:r w:rsidR="003366F6" w:rsidRPr="007647B4">
        <w:rPr>
          <w:rFonts w:asciiTheme="minorHAnsi" w:hAnsiTheme="minorHAnsi" w:cstheme="minorHAnsi"/>
          <w:b/>
          <w:caps/>
          <w:color w:val="000000" w:themeColor="text1"/>
          <w:sz w:val="22"/>
          <w:szCs w:val="22"/>
        </w:rPr>
        <w:t xml:space="preserve"> on products and marketing</w:t>
      </w:r>
      <w:r w:rsidR="001B433F" w:rsidRPr="007647B4">
        <w:rPr>
          <w:rFonts w:asciiTheme="minorHAnsi" w:hAnsiTheme="minorHAnsi" w:cstheme="minorHAnsi"/>
          <w:b/>
          <w:caps/>
          <w:color w:val="000000" w:themeColor="text1"/>
          <w:sz w:val="22"/>
          <w:szCs w:val="22"/>
        </w:rPr>
        <w:t>;</w:t>
      </w:r>
      <w:r w:rsidR="00DA6B6F" w:rsidRPr="007647B4">
        <w:rPr>
          <w:rFonts w:asciiTheme="minorHAnsi" w:hAnsiTheme="minorHAnsi" w:cstheme="minorHAnsi"/>
          <w:b/>
          <w:caps/>
          <w:color w:val="000000" w:themeColor="text1"/>
          <w:sz w:val="22"/>
          <w:szCs w:val="22"/>
        </w:rPr>
        <w:t xml:space="preserve"> </w:t>
      </w:r>
      <w:r w:rsidR="00042805" w:rsidRPr="007647B4">
        <w:rPr>
          <w:rFonts w:asciiTheme="minorHAnsi" w:hAnsiTheme="minorHAnsi" w:cstheme="minorHAnsi"/>
          <w:b/>
          <w:caps/>
          <w:color w:val="000000" w:themeColor="text1"/>
          <w:sz w:val="22"/>
          <w:szCs w:val="22"/>
        </w:rPr>
        <w:t>preventing abusive industry marketing tactics</w:t>
      </w:r>
      <w:r w:rsidR="007647B4">
        <w:rPr>
          <w:rFonts w:asciiTheme="minorHAnsi" w:hAnsiTheme="minorHAnsi" w:cstheme="minorHAnsi"/>
          <w:b/>
          <w:caps/>
          <w:color w:val="000000" w:themeColor="text1"/>
          <w:sz w:val="22"/>
          <w:szCs w:val="22"/>
        </w:rPr>
        <w:t xml:space="preserve"> particularly tho</w:t>
      </w:r>
      <w:r w:rsidR="003366F6" w:rsidRPr="007647B4">
        <w:rPr>
          <w:rFonts w:asciiTheme="minorHAnsi" w:hAnsiTheme="minorHAnsi" w:cstheme="minorHAnsi"/>
          <w:b/>
          <w:caps/>
          <w:color w:val="000000" w:themeColor="text1"/>
          <w:sz w:val="22"/>
          <w:szCs w:val="22"/>
        </w:rPr>
        <w:t>se that attract children and youth; and</w:t>
      </w:r>
      <w:r w:rsidR="001B433F" w:rsidRPr="007647B4">
        <w:rPr>
          <w:rFonts w:asciiTheme="minorHAnsi" w:hAnsiTheme="minorHAnsi" w:cstheme="minorHAnsi"/>
          <w:b/>
          <w:caps/>
          <w:color w:val="000000" w:themeColor="text1"/>
          <w:sz w:val="22"/>
          <w:szCs w:val="22"/>
        </w:rPr>
        <w:t xml:space="preserve"> more actively</w:t>
      </w:r>
      <w:r w:rsidR="00DA6B6F" w:rsidRPr="007647B4">
        <w:rPr>
          <w:rFonts w:asciiTheme="minorHAnsi" w:hAnsiTheme="minorHAnsi" w:cstheme="minorHAnsi"/>
          <w:b/>
          <w:caps/>
          <w:color w:val="000000" w:themeColor="text1"/>
          <w:sz w:val="22"/>
          <w:szCs w:val="22"/>
        </w:rPr>
        <w:t xml:space="preserve"> </w:t>
      </w:r>
      <w:r w:rsidR="003366F6" w:rsidRPr="007647B4">
        <w:rPr>
          <w:rFonts w:asciiTheme="minorHAnsi" w:hAnsiTheme="minorHAnsi" w:cstheme="minorHAnsi"/>
          <w:b/>
          <w:caps/>
          <w:color w:val="000000" w:themeColor="text1"/>
          <w:sz w:val="22"/>
          <w:szCs w:val="22"/>
        </w:rPr>
        <w:t>preventing conflicts of interest.</w:t>
      </w:r>
      <w:r w:rsidR="00DA6B6F" w:rsidRPr="007647B4">
        <w:rPr>
          <w:rFonts w:asciiTheme="minorHAnsi" w:hAnsiTheme="minorHAnsi" w:cstheme="minorHAnsi"/>
          <w:b/>
          <w:caps/>
          <w:color w:val="000000" w:themeColor="text1"/>
          <w:sz w:val="22"/>
          <w:szCs w:val="22"/>
        </w:rPr>
        <w:t xml:space="preserve"> </w:t>
      </w:r>
      <w:r w:rsidR="003366F6" w:rsidRPr="007647B4">
        <w:rPr>
          <w:rFonts w:asciiTheme="minorHAnsi" w:hAnsiTheme="minorHAnsi" w:cstheme="minorHAnsi"/>
          <w:b/>
          <w:caps/>
          <w:color w:val="000000" w:themeColor="text1"/>
          <w:sz w:val="22"/>
          <w:szCs w:val="22"/>
        </w:rPr>
        <w:t>adoption of these measures will help to assure a better balance between the benefits of legalization an</w:t>
      </w:r>
      <w:r w:rsidR="004444A8" w:rsidRPr="007647B4">
        <w:rPr>
          <w:rFonts w:asciiTheme="minorHAnsi" w:hAnsiTheme="minorHAnsi" w:cstheme="minorHAnsi"/>
          <w:b/>
          <w:caps/>
          <w:color w:val="000000" w:themeColor="text1"/>
          <w:sz w:val="22"/>
          <w:szCs w:val="22"/>
        </w:rPr>
        <w:t>D</w:t>
      </w:r>
      <w:r w:rsidR="003366F6" w:rsidRPr="007647B4">
        <w:rPr>
          <w:rFonts w:asciiTheme="minorHAnsi" w:hAnsiTheme="minorHAnsi" w:cstheme="minorHAnsi"/>
          <w:b/>
          <w:caps/>
          <w:color w:val="000000" w:themeColor="text1"/>
          <w:sz w:val="22"/>
          <w:szCs w:val="22"/>
        </w:rPr>
        <w:t xml:space="preserve"> the reduction of harms from an expanded market. </w:t>
      </w:r>
    </w:p>
    <w:p w14:paraId="17DFBCE0" w14:textId="77777777" w:rsidR="009F1969" w:rsidRPr="007647B4" w:rsidRDefault="009F1969" w:rsidP="00A549C2">
      <w:pPr>
        <w:jc w:val="both"/>
        <w:rPr>
          <w:rFonts w:asciiTheme="minorHAnsi" w:hAnsiTheme="minorHAnsi" w:cstheme="minorHAnsi"/>
          <w:b/>
          <w:sz w:val="22"/>
          <w:szCs w:val="22"/>
        </w:rPr>
      </w:pPr>
    </w:p>
    <w:p w14:paraId="7D5D8A1B" w14:textId="77777777" w:rsidR="009F1969" w:rsidRPr="007647B4" w:rsidRDefault="009F1969" w:rsidP="00A549C2">
      <w:pPr>
        <w:jc w:val="both"/>
        <w:rPr>
          <w:rFonts w:asciiTheme="minorHAnsi" w:hAnsiTheme="minorHAnsi" w:cstheme="minorHAnsi"/>
          <w:b/>
          <w:sz w:val="22"/>
          <w:szCs w:val="22"/>
        </w:rPr>
      </w:pPr>
    </w:p>
    <w:p w14:paraId="08881883" w14:textId="77777777" w:rsidR="009F1969" w:rsidRPr="007647B4" w:rsidRDefault="009F1969" w:rsidP="001B433F">
      <w:pPr>
        <w:jc w:val="both"/>
        <w:outlineLvl w:val="0"/>
        <w:rPr>
          <w:rFonts w:asciiTheme="minorHAnsi" w:hAnsiTheme="minorHAnsi" w:cstheme="minorHAnsi"/>
          <w:b/>
          <w:sz w:val="22"/>
          <w:szCs w:val="22"/>
        </w:rPr>
      </w:pPr>
      <w:r w:rsidRPr="007647B4">
        <w:rPr>
          <w:rFonts w:asciiTheme="minorHAnsi" w:hAnsiTheme="minorHAnsi" w:cstheme="minorHAnsi"/>
          <w:b/>
          <w:sz w:val="22"/>
          <w:szCs w:val="22"/>
        </w:rPr>
        <w:t>About the Submitting Organization:</w:t>
      </w:r>
    </w:p>
    <w:p w14:paraId="6820FFE0" w14:textId="77777777" w:rsidR="009F1969" w:rsidRPr="007647B4" w:rsidRDefault="009F1969" w:rsidP="00A549C2">
      <w:pPr>
        <w:jc w:val="both"/>
        <w:rPr>
          <w:rFonts w:asciiTheme="minorHAnsi" w:hAnsiTheme="minorHAnsi" w:cstheme="minorHAnsi"/>
          <w:b/>
          <w:sz w:val="22"/>
          <w:szCs w:val="22"/>
        </w:rPr>
      </w:pPr>
    </w:p>
    <w:p w14:paraId="55052D9C" w14:textId="77777777" w:rsidR="009F1969" w:rsidRPr="007647B4" w:rsidRDefault="009F1969" w:rsidP="00A549C2">
      <w:pPr>
        <w:jc w:val="both"/>
        <w:rPr>
          <w:rFonts w:asciiTheme="minorHAnsi" w:hAnsiTheme="minorHAnsi" w:cstheme="minorHAnsi"/>
          <w:sz w:val="22"/>
          <w:szCs w:val="22"/>
        </w:rPr>
      </w:pPr>
      <w:r w:rsidRPr="007647B4">
        <w:rPr>
          <w:rFonts w:asciiTheme="minorHAnsi" w:hAnsiTheme="minorHAnsi" w:cstheme="minorHAnsi"/>
          <w:sz w:val="22"/>
          <w:szCs w:val="22"/>
          <w:highlight w:val="yellow"/>
        </w:rPr>
        <w:t>[INSERT ORGANIZATION NAME AND DESCRIPTION OF WORK]</w:t>
      </w:r>
    </w:p>
    <w:p w14:paraId="62F12B84" w14:textId="3E013290" w:rsidR="00CA77ED" w:rsidRPr="007647B4" w:rsidRDefault="00CA77ED" w:rsidP="001B433F">
      <w:pPr>
        <w:jc w:val="both"/>
        <w:rPr>
          <w:rFonts w:asciiTheme="minorHAnsi" w:hAnsiTheme="minorHAnsi" w:cstheme="minorHAnsi"/>
          <w:color w:val="000000" w:themeColor="text1"/>
          <w:sz w:val="22"/>
          <w:szCs w:val="22"/>
        </w:rPr>
      </w:pPr>
    </w:p>
    <w:p w14:paraId="2183A0B6" w14:textId="60D345BC" w:rsidR="00CA77ED" w:rsidRPr="007647B4" w:rsidRDefault="00CA77ED" w:rsidP="001B433F">
      <w:pPr>
        <w:jc w:val="both"/>
        <w:rPr>
          <w:rFonts w:asciiTheme="minorHAnsi" w:hAnsiTheme="minorHAnsi" w:cstheme="minorHAnsi"/>
          <w:color w:val="000000" w:themeColor="text1"/>
          <w:sz w:val="22"/>
          <w:szCs w:val="22"/>
        </w:rPr>
      </w:pPr>
    </w:p>
    <w:p w14:paraId="74A8684D" w14:textId="64B214BE" w:rsidR="003B307A" w:rsidRPr="007647B4" w:rsidRDefault="003B307A" w:rsidP="001B433F">
      <w:pPr>
        <w:jc w:val="both"/>
        <w:rPr>
          <w:rFonts w:asciiTheme="minorHAnsi" w:hAnsiTheme="minorHAnsi" w:cstheme="minorHAnsi"/>
          <w:color w:val="000000" w:themeColor="text1"/>
          <w:sz w:val="22"/>
          <w:szCs w:val="22"/>
        </w:rPr>
      </w:pPr>
    </w:p>
    <w:p w14:paraId="1ED2ABC5" w14:textId="2427346F" w:rsidR="003B307A" w:rsidRPr="007647B4" w:rsidRDefault="003B307A" w:rsidP="001B433F">
      <w:pPr>
        <w:jc w:val="both"/>
        <w:rPr>
          <w:rFonts w:asciiTheme="minorHAnsi" w:hAnsiTheme="minorHAnsi" w:cstheme="minorHAnsi"/>
          <w:b/>
          <w:color w:val="000000" w:themeColor="text1"/>
          <w:sz w:val="22"/>
          <w:szCs w:val="22"/>
        </w:rPr>
      </w:pPr>
      <w:r w:rsidRPr="007647B4">
        <w:rPr>
          <w:rFonts w:asciiTheme="minorHAnsi" w:hAnsiTheme="minorHAnsi" w:cstheme="minorHAnsi"/>
          <w:b/>
          <w:color w:val="000000" w:themeColor="text1"/>
          <w:sz w:val="22"/>
          <w:szCs w:val="22"/>
        </w:rPr>
        <w:t>GENERAL COMMENTS</w:t>
      </w:r>
      <w:r w:rsidR="00042805" w:rsidRPr="007647B4">
        <w:rPr>
          <w:rFonts w:asciiTheme="minorHAnsi" w:hAnsiTheme="minorHAnsi" w:cstheme="minorHAnsi"/>
          <w:b/>
          <w:color w:val="000000" w:themeColor="text1"/>
          <w:sz w:val="22"/>
          <w:szCs w:val="22"/>
        </w:rPr>
        <w:t>:</w:t>
      </w:r>
    </w:p>
    <w:p w14:paraId="1B944BB3" w14:textId="77777777" w:rsidR="003B307A" w:rsidRPr="007647B4" w:rsidRDefault="003B307A" w:rsidP="001B433F">
      <w:pPr>
        <w:jc w:val="both"/>
        <w:rPr>
          <w:rFonts w:asciiTheme="minorHAnsi" w:hAnsiTheme="minorHAnsi" w:cstheme="minorHAnsi"/>
          <w:color w:val="000000" w:themeColor="text1"/>
          <w:sz w:val="22"/>
          <w:szCs w:val="22"/>
        </w:rPr>
      </w:pPr>
    </w:p>
    <w:p w14:paraId="57B27DC2" w14:textId="367791DA" w:rsidR="00316817" w:rsidRPr="007647B4" w:rsidRDefault="00316817" w:rsidP="001B433F">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Legalization of cannabis for </w:t>
      </w:r>
      <w:r w:rsidR="001B2BE9" w:rsidRPr="007647B4">
        <w:rPr>
          <w:rFonts w:asciiTheme="minorHAnsi" w:hAnsiTheme="minorHAnsi" w:cstheme="minorHAnsi"/>
          <w:color w:val="000000" w:themeColor="text1"/>
          <w:sz w:val="22"/>
          <w:szCs w:val="22"/>
        </w:rPr>
        <w:t>adult</w:t>
      </w:r>
      <w:r w:rsidRPr="007647B4">
        <w:rPr>
          <w:rFonts w:asciiTheme="minorHAnsi" w:hAnsiTheme="minorHAnsi" w:cstheme="minorHAnsi"/>
          <w:color w:val="000000" w:themeColor="text1"/>
          <w:sz w:val="22"/>
          <w:szCs w:val="22"/>
        </w:rPr>
        <w:t xml:space="preserve"> use in California and other states represents a massive shift in the regulatory approach to the substance</w:t>
      </w:r>
      <w:r w:rsidR="000B7EE5" w:rsidRPr="007647B4">
        <w:rPr>
          <w:rFonts w:asciiTheme="minorHAnsi" w:hAnsiTheme="minorHAnsi" w:cstheme="minorHAnsi"/>
          <w:color w:val="000000" w:themeColor="text1"/>
          <w:sz w:val="22"/>
          <w:szCs w:val="22"/>
        </w:rPr>
        <w:t>,</w:t>
      </w:r>
      <w:r w:rsidRPr="007647B4">
        <w:rPr>
          <w:rFonts w:asciiTheme="minorHAnsi" w:hAnsiTheme="minorHAnsi" w:cstheme="minorHAnsi"/>
          <w:color w:val="000000" w:themeColor="text1"/>
          <w:sz w:val="22"/>
          <w:szCs w:val="22"/>
        </w:rPr>
        <w:t xml:space="preserve"> despite its continued illegality under federal law. Positive impacts of this change may include an end to enforcement practices that have disproportionately </w:t>
      </w:r>
      <w:r w:rsidR="000B7EE5" w:rsidRPr="007647B4">
        <w:rPr>
          <w:rFonts w:asciiTheme="minorHAnsi" w:hAnsiTheme="minorHAnsi" w:cstheme="minorHAnsi"/>
          <w:color w:val="000000" w:themeColor="text1"/>
          <w:sz w:val="22"/>
          <w:szCs w:val="22"/>
        </w:rPr>
        <w:t>resulted in mass incarceration</w:t>
      </w:r>
      <w:r w:rsidRPr="007647B4">
        <w:rPr>
          <w:rFonts w:asciiTheme="minorHAnsi" w:hAnsiTheme="minorHAnsi" w:cstheme="minorHAnsi"/>
          <w:color w:val="000000" w:themeColor="text1"/>
          <w:sz w:val="22"/>
          <w:szCs w:val="22"/>
        </w:rPr>
        <w:t xml:space="preserve">, particularly </w:t>
      </w:r>
      <w:r w:rsidR="000B7EE5" w:rsidRPr="007647B4">
        <w:rPr>
          <w:rFonts w:asciiTheme="minorHAnsi" w:hAnsiTheme="minorHAnsi" w:cstheme="minorHAnsi"/>
          <w:color w:val="000000" w:themeColor="text1"/>
          <w:sz w:val="22"/>
          <w:szCs w:val="22"/>
        </w:rPr>
        <w:t xml:space="preserve">in </w:t>
      </w:r>
      <w:r w:rsidRPr="007647B4">
        <w:rPr>
          <w:rFonts w:asciiTheme="minorHAnsi" w:hAnsiTheme="minorHAnsi" w:cstheme="minorHAnsi"/>
          <w:color w:val="000000" w:themeColor="text1"/>
          <w:sz w:val="22"/>
          <w:szCs w:val="22"/>
        </w:rPr>
        <w:t xml:space="preserve">communities of color, as well as safer products. However, the creation and government endorsement of a legal cannabis industry that will span both medical and </w:t>
      </w:r>
      <w:r w:rsidR="001B2BE9" w:rsidRPr="007647B4">
        <w:rPr>
          <w:rFonts w:asciiTheme="minorHAnsi" w:hAnsiTheme="minorHAnsi" w:cstheme="minorHAnsi"/>
          <w:color w:val="000000" w:themeColor="text1"/>
          <w:sz w:val="22"/>
          <w:szCs w:val="22"/>
        </w:rPr>
        <w:t>adult</w:t>
      </w:r>
      <w:r w:rsidRPr="007647B4">
        <w:rPr>
          <w:rFonts w:asciiTheme="minorHAnsi" w:hAnsiTheme="minorHAnsi" w:cstheme="minorHAnsi"/>
          <w:color w:val="000000" w:themeColor="text1"/>
          <w:sz w:val="22"/>
          <w:szCs w:val="22"/>
        </w:rPr>
        <w:t xml:space="preserve"> use also presents risks that such an industry </w:t>
      </w:r>
      <w:r w:rsidRPr="007647B4">
        <w:rPr>
          <w:rFonts w:asciiTheme="minorHAnsi" w:hAnsiTheme="minorHAnsi" w:cstheme="minorHAnsi"/>
          <w:b/>
          <w:color w:val="000000" w:themeColor="text1"/>
          <w:sz w:val="22"/>
          <w:szCs w:val="22"/>
        </w:rPr>
        <w:t xml:space="preserve">may seek to drive up demand, exploit abusive use to increase profit, and exert powerful influence over the regulatory environment as other industries have done, most </w:t>
      </w:r>
      <w:r w:rsidRPr="007647B4">
        <w:rPr>
          <w:rFonts w:asciiTheme="minorHAnsi" w:hAnsiTheme="minorHAnsi" w:cstheme="minorHAnsi"/>
          <w:b/>
          <w:color w:val="000000" w:themeColor="text1"/>
          <w:sz w:val="22"/>
          <w:szCs w:val="22"/>
        </w:rPr>
        <w:lastRenderedPageBreak/>
        <w:t>notably tobacco</w:t>
      </w:r>
      <w:r w:rsidR="0043680E" w:rsidRPr="007647B4">
        <w:rPr>
          <w:rFonts w:asciiTheme="minorHAnsi" w:hAnsiTheme="minorHAnsi" w:cstheme="minorHAnsi"/>
          <w:color w:val="000000" w:themeColor="text1"/>
          <w:sz w:val="22"/>
          <w:szCs w:val="22"/>
        </w:rPr>
        <w:t>,</w:t>
      </w:r>
      <w:r w:rsidR="008A35D7" w:rsidRPr="007647B4">
        <w:rPr>
          <w:rStyle w:val="FootnoteReference"/>
          <w:rFonts w:asciiTheme="minorHAnsi" w:hAnsiTheme="minorHAnsi" w:cstheme="minorHAnsi"/>
          <w:color w:val="000000" w:themeColor="text1"/>
          <w:sz w:val="22"/>
          <w:szCs w:val="22"/>
        </w:rPr>
        <w:footnoteReference w:id="1"/>
      </w:r>
      <w:r w:rsidR="008A35D7"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or that such other industries may seek to enter and dominate the new cannabis markets</w:t>
      </w:r>
      <w:r w:rsidR="008A35D7" w:rsidRPr="007647B4">
        <w:rPr>
          <w:rFonts w:asciiTheme="minorHAnsi" w:hAnsiTheme="minorHAnsi" w:cstheme="minorHAnsi"/>
          <w:color w:val="000000" w:themeColor="text1"/>
          <w:sz w:val="22"/>
          <w:szCs w:val="22"/>
        </w:rPr>
        <w:t>.</w:t>
      </w:r>
      <w:r w:rsidR="008A35D7" w:rsidRPr="007647B4">
        <w:rPr>
          <w:rStyle w:val="FootnoteReference"/>
          <w:rFonts w:asciiTheme="minorHAnsi" w:hAnsiTheme="minorHAnsi" w:cstheme="minorHAnsi"/>
          <w:color w:val="000000" w:themeColor="text1"/>
          <w:sz w:val="22"/>
          <w:szCs w:val="22"/>
        </w:rPr>
        <w:footnoteReference w:id="2"/>
      </w:r>
      <w:r w:rsidRPr="007647B4">
        <w:rPr>
          <w:rFonts w:asciiTheme="minorHAnsi" w:hAnsiTheme="minorHAnsi" w:cstheme="minorHAnsi"/>
          <w:color w:val="000000" w:themeColor="text1"/>
          <w:sz w:val="22"/>
          <w:szCs w:val="22"/>
        </w:rPr>
        <w:t xml:space="preserve"> </w:t>
      </w:r>
    </w:p>
    <w:p w14:paraId="17920D0C" w14:textId="77777777" w:rsidR="00316817" w:rsidRPr="007647B4" w:rsidRDefault="00316817" w:rsidP="001B433F">
      <w:pPr>
        <w:jc w:val="both"/>
        <w:rPr>
          <w:rFonts w:asciiTheme="minorHAnsi" w:hAnsiTheme="minorHAnsi" w:cstheme="minorHAnsi"/>
          <w:color w:val="000000" w:themeColor="text1"/>
          <w:sz w:val="22"/>
          <w:szCs w:val="22"/>
        </w:rPr>
      </w:pPr>
    </w:p>
    <w:p w14:paraId="21421C61" w14:textId="73634A89" w:rsidR="00316817" w:rsidRPr="007647B4" w:rsidRDefault="00316817" w:rsidP="001B433F">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The multiplication of marketed products clearly aimed at attracting youth and expanding use, as well as vast increases in potency</w:t>
      </w:r>
      <w:r w:rsidR="00514595" w:rsidRPr="007647B4">
        <w:rPr>
          <w:rFonts w:asciiTheme="minorHAnsi" w:hAnsiTheme="minorHAnsi" w:cstheme="minorHAnsi"/>
          <w:color w:val="000000" w:themeColor="text1"/>
          <w:sz w:val="22"/>
          <w:szCs w:val="22"/>
        </w:rPr>
        <w:t>,</w:t>
      </w:r>
      <w:r w:rsidRPr="007647B4">
        <w:rPr>
          <w:rFonts w:asciiTheme="minorHAnsi" w:hAnsiTheme="minorHAnsi" w:cstheme="minorHAnsi"/>
          <w:color w:val="000000" w:themeColor="text1"/>
          <w:sz w:val="22"/>
          <w:szCs w:val="22"/>
        </w:rPr>
        <w:t xml:space="preserve"> </w:t>
      </w:r>
      <w:r w:rsidR="00514595" w:rsidRPr="007647B4">
        <w:rPr>
          <w:rFonts w:asciiTheme="minorHAnsi" w:hAnsiTheme="minorHAnsi" w:cstheme="minorHAnsi"/>
          <w:color w:val="000000" w:themeColor="text1"/>
          <w:sz w:val="22"/>
          <w:szCs w:val="22"/>
        </w:rPr>
        <w:t xml:space="preserve">are dangerous trends that </w:t>
      </w:r>
      <w:r w:rsidRPr="007647B4">
        <w:rPr>
          <w:rFonts w:asciiTheme="minorHAnsi" w:hAnsiTheme="minorHAnsi" w:cstheme="minorHAnsi"/>
          <w:color w:val="000000" w:themeColor="text1"/>
          <w:sz w:val="22"/>
          <w:szCs w:val="22"/>
        </w:rPr>
        <w:t>ha</w:t>
      </w:r>
      <w:r w:rsidR="0043680E" w:rsidRPr="007647B4">
        <w:rPr>
          <w:rFonts w:asciiTheme="minorHAnsi" w:hAnsiTheme="minorHAnsi" w:cstheme="minorHAnsi"/>
          <w:color w:val="000000" w:themeColor="text1"/>
          <w:sz w:val="22"/>
          <w:szCs w:val="22"/>
        </w:rPr>
        <w:t>ve</w:t>
      </w:r>
      <w:r w:rsidRPr="007647B4">
        <w:rPr>
          <w:rFonts w:asciiTheme="minorHAnsi" w:hAnsiTheme="minorHAnsi" w:cstheme="minorHAnsi"/>
          <w:color w:val="000000" w:themeColor="text1"/>
          <w:sz w:val="22"/>
          <w:szCs w:val="22"/>
        </w:rPr>
        <w:t xml:space="preserve"> already been clearly established in the previously little regulated medical </w:t>
      </w:r>
      <w:r w:rsidR="0043680E" w:rsidRPr="007647B4">
        <w:rPr>
          <w:rFonts w:asciiTheme="minorHAnsi" w:hAnsiTheme="minorHAnsi" w:cstheme="minorHAnsi"/>
          <w:color w:val="000000" w:themeColor="text1"/>
          <w:sz w:val="22"/>
          <w:szCs w:val="22"/>
        </w:rPr>
        <w:t xml:space="preserve">cannabis </w:t>
      </w:r>
      <w:r w:rsidRPr="007647B4">
        <w:rPr>
          <w:rFonts w:asciiTheme="minorHAnsi" w:hAnsiTheme="minorHAnsi" w:cstheme="minorHAnsi"/>
          <w:color w:val="000000" w:themeColor="text1"/>
          <w:sz w:val="22"/>
          <w:szCs w:val="22"/>
        </w:rPr>
        <w:t xml:space="preserve">market. </w:t>
      </w:r>
    </w:p>
    <w:p w14:paraId="4FB9B871" w14:textId="77777777" w:rsidR="00316817" w:rsidRPr="007647B4" w:rsidRDefault="00316817" w:rsidP="001B433F">
      <w:pPr>
        <w:jc w:val="both"/>
        <w:rPr>
          <w:rFonts w:asciiTheme="minorHAnsi" w:hAnsiTheme="minorHAnsi" w:cstheme="minorHAnsi"/>
          <w:color w:val="000000" w:themeColor="text1"/>
          <w:sz w:val="22"/>
          <w:szCs w:val="22"/>
        </w:rPr>
      </w:pPr>
    </w:p>
    <w:p w14:paraId="106A87BE" w14:textId="5FCB5F1A" w:rsidR="00316817" w:rsidRPr="007647B4" w:rsidRDefault="00316817" w:rsidP="001B433F">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Ample evidence exists which supports a measured precautionary approach. </w:t>
      </w:r>
      <w:r w:rsidR="00AF6AB0" w:rsidRPr="007647B4">
        <w:rPr>
          <w:rFonts w:asciiTheme="minorHAnsi" w:hAnsiTheme="minorHAnsi" w:cstheme="minorHAnsi"/>
          <w:color w:val="000000" w:themeColor="text1"/>
          <w:sz w:val="22"/>
          <w:szCs w:val="22"/>
        </w:rPr>
        <w:t>Cannabis use during pregnancy is associated with low birthweight.</w:t>
      </w:r>
      <w:r w:rsidR="00AF6AB0" w:rsidRPr="007647B4">
        <w:rPr>
          <w:rStyle w:val="FootnoteReference"/>
          <w:rFonts w:asciiTheme="minorHAnsi" w:hAnsiTheme="minorHAnsi" w:cstheme="minorHAnsi"/>
          <w:color w:val="000000" w:themeColor="text1"/>
          <w:sz w:val="22"/>
          <w:szCs w:val="22"/>
        </w:rPr>
        <w:footnoteReference w:id="3"/>
      </w:r>
      <w:r w:rsidR="00AF6AB0" w:rsidRPr="007647B4">
        <w:rPr>
          <w:rFonts w:asciiTheme="minorHAnsi" w:hAnsiTheme="minorHAnsi" w:cstheme="minorHAnsi"/>
          <w:color w:val="000000" w:themeColor="text1"/>
          <w:sz w:val="22"/>
          <w:szCs w:val="22"/>
        </w:rPr>
        <w:t xml:space="preserve"> Cannabis use, like alcohol,</w:t>
      </w:r>
      <w:r w:rsidR="00DA6B6F" w:rsidRPr="007647B4">
        <w:rPr>
          <w:rFonts w:asciiTheme="minorHAnsi" w:hAnsiTheme="minorHAnsi" w:cstheme="minorHAnsi"/>
          <w:color w:val="000000" w:themeColor="text1"/>
          <w:sz w:val="22"/>
          <w:szCs w:val="22"/>
        </w:rPr>
        <w:t xml:space="preserve"> </w:t>
      </w:r>
      <w:r w:rsidR="00AF6AB0" w:rsidRPr="007647B4">
        <w:rPr>
          <w:rFonts w:asciiTheme="minorHAnsi" w:hAnsiTheme="minorHAnsi" w:cstheme="minorHAnsi"/>
          <w:color w:val="000000" w:themeColor="text1"/>
          <w:sz w:val="22"/>
          <w:szCs w:val="22"/>
        </w:rPr>
        <w:t>is associated with motor vehicle accidents.</w:t>
      </w:r>
      <w:r w:rsidR="00AF6AB0" w:rsidRPr="007647B4">
        <w:rPr>
          <w:rStyle w:val="FootnoteReference"/>
          <w:rFonts w:asciiTheme="minorHAnsi" w:hAnsiTheme="minorHAnsi" w:cstheme="minorHAnsi"/>
          <w:color w:val="000000" w:themeColor="text1"/>
          <w:sz w:val="22"/>
          <w:szCs w:val="22"/>
        </w:rPr>
        <w:footnoteReference w:id="4"/>
      </w:r>
      <w:r w:rsidR="00AF6AB0"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Cannabis use is clearly associated with development of substance use disorders</w:t>
      </w:r>
      <w:r w:rsidR="008A35D7" w:rsidRPr="007647B4">
        <w:rPr>
          <w:rStyle w:val="FootnoteReference"/>
          <w:rFonts w:asciiTheme="minorHAnsi" w:hAnsiTheme="minorHAnsi" w:cstheme="minorHAnsi"/>
          <w:color w:val="000000" w:themeColor="text1"/>
          <w:sz w:val="22"/>
          <w:szCs w:val="22"/>
        </w:rPr>
        <w:footnoteReference w:id="5"/>
      </w:r>
      <w:r w:rsidR="00AF6AB0" w:rsidRPr="007647B4">
        <w:rPr>
          <w:rFonts w:asciiTheme="minorHAnsi" w:hAnsiTheme="minorHAnsi" w:cstheme="minorHAnsi"/>
          <w:color w:val="000000" w:themeColor="text1"/>
          <w:sz w:val="22"/>
          <w:szCs w:val="22"/>
          <w:vertAlign w:val="superscript"/>
        </w:rPr>
        <w:t>,</w:t>
      </w:r>
      <w:r w:rsidR="008A35D7" w:rsidRPr="007647B4">
        <w:rPr>
          <w:rStyle w:val="FootnoteReference"/>
          <w:rFonts w:asciiTheme="minorHAnsi" w:hAnsiTheme="minorHAnsi" w:cstheme="minorHAnsi"/>
          <w:color w:val="000000" w:themeColor="text1"/>
          <w:sz w:val="22"/>
          <w:szCs w:val="22"/>
        </w:rPr>
        <w:footnoteReference w:id="6"/>
      </w:r>
      <w:r w:rsidRPr="007647B4">
        <w:rPr>
          <w:rFonts w:asciiTheme="minorHAnsi" w:hAnsiTheme="minorHAnsi" w:cstheme="minorHAnsi"/>
          <w:color w:val="000000" w:themeColor="text1"/>
          <w:sz w:val="22"/>
          <w:szCs w:val="22"/>
        </w:rPr>
        <w:t xml:space="preserve"> and schizophrenia and other psychoses</w:t>
      </w:r>
      <w:r w:rsidR="008A35D7" w:rsidRPr="007647B4">
        <w:rPr>
          <w:rFonts w:asciiTheme="minorHAnsi" w:hAnsiTheme="minorHAnsi" w:cstheme="minorHAnsi"/>
          <w:color w:val="000000" w:themeColor="text1"/>
          <w:sz w:val="22"/>
          <w:szCs w:val="22"/>
        </w:rPr>
        <w:t>.</w:t>
      </w:r>
      <w:r w:rsidR="008A35D7" w:rsidRPr="007647B4">
        <w:rPr>
          <w:rStyle w:val="FootnoteReference"/>
          <w:rFonts w:asciiTheme="minorHAnsi" w:hAnsiTheme="minorHAnsi" w:cstheme="minorHAnsi"/>
          <w:color w:val="000000" w:themeColor="text1"/>
          <w:sz w:val="22"/>
          <w:szCs w:val="22"/>
        </w:rPr>
        <w:footnoteReference w:id="7"/>
      </w:r>
      <w:r w:rsidRPr="007647B4">
        <w:rPr>
          <w:rFonts w:asciiTheme="minorHAnsi" w:hAnsiTheme="minorHAnsi" w:cstheme="minorHAnsi"/>
          <w:color w:val="000000" w:themeColor="text1"/>
          <w:sz w:val="22"/>
          <w:szCs w:val="22"/>
        </w:rPr>
        <w:t xml:space="preserve"> Cannabis smoking is associated with respiratory health harms</w:t>
      </w:r>
      <w:r w:rsidR="001E1684" w:rsidRPr="007647B4">
        <w:rPr>
          <w:rFonts w:asciiTheme="minorHAnsi" w:hAnsiTheme="minorHAnsi" w:cstheme="minorHAnsi"/>
          <w:color w:val="000000" w:themeColor="text1"/>
          <w:sz w:val="22"/>
          <w:szCs w:val="22"/>
        </w:rPr>
        <w:t>,</w:t>
      </w:r>
      <w:r w:rsidR="008A35D7" w:rsidRPr="007647B4">
        <w:rPr>
          <w:rStyle w:val="FootnoteReference"/>
          <w:rFonts w:asciiTheme="minorHAnsi" w:hAnsiTheme="minorHAnsi" w:cstheme="minorHAnsi"/>
          <w:color w:val="000000" w:themeColor="text1"/>
          <w:sz w:val="22"/>
          <w:szCs w:val="22"/>
        </w:rPr>
        <w:footnoteReference w:id="8"/>
      </w:r>
      <w:r w:rsidRPr="007647B4">
        <w:rPr>
          <w:rFonts w:asciiTheme="minorHAnsi" w:hAnsiTheme="minorHAnsi" w:cstheme="minorHAnsi"/>
          <w:color w:val="000000" w:themeColor="text1"/>
          <w:sz w:val="22"/>
          <w:szCs w:val="22"/>
        </w:rPr>
        <w:t xml:space="preserve"> stroke</w:t>
      </w:r>
      <w:r w:rsidR="001E1684" w:rsidRPr="007647B4">
        <w:rPr>
          <w:rFonts w:asciiTheme="minorHAnsi" w:hAnsiTheme="minorHAnsi" w:cstheme="minorHAnsi"/>
          <w:color w:val="000000" w:themeColor="text1"/>
          <w:sz w:val="22"/>
          <w:szCs w:val="22"/>
        </w:rPr>
        <w:t>,</w:t>
      </w:r>
      <w:r w:rsidR="008A35D7" w:rsidRPr="007647B4">
        <w:rPr>
          <w:rStyle w:val="FootnoteReference"/>
          <w:rFonts w:asciiTheme="minorHAnsi" w:hAnsiTheme="minorHAnsi" w:cstheme="minorHAnsi"/>
          <w:color w:val="000000" w:themeColor="text1"/>
          <w:sz w:val="22"/>
          <w:szCs w:val="22"/>
        </w:rPr>
        <w:footnoteReference w:id="9"/>
      </w:r>
      <w:r w:rsidRPr="007647B4">
        <w:rPr>
          <w:rFonts w:asciiTheme="minorHAnsi" w:hAnsiTheme="minorHAnsi" w:cstheme="minorHAnsi"/>
          <w:color w:val="000000" w:themeColor="text1"/>
          <w:sz w:val="22"/>
          <w:szCs w:val="22"/>
        </w:rPr>
        <w:t xml:space="preserve"> and cardiovascular disease</w:t>
      </w:r>
      <w:r w:rsidR="001E1684" w:rsidRPr="007647B4">
        <w:rPr>
          <w:rFonts w:asciiTheme="minorHAnsi" w:hAnsiTheme="minorHAnsi" w:cstheme="minorHAnsi"/>
          <w:color w:val="000000" w:themeColor="text1"/>
          <w:sz w:val="22"/>
          <w:szCs w:val="22"/>
        </w:rPr>
        <w:t>,</w:t>
      </w:r>
      <w:r w:rsidR="008A35D7" w:rsidRPr="007647B4">
        <w:rPr>
          <w:rStyle w:val="FootnoteReference"/>
          <w:rFonts w:asciiTheme="minorHAnsi" w:hAnsiTheme="minorHAnsi" w:cstheme="minorHAnsi"/>
          <w:color w:val="000000" w:themeColor="text1"/>
          <w:sz w:val="22"/>
          <w:szCs w:val="22"/>
        </w:rPr>
        <w:footnoteReference w:id="10"/>
      </w:r>
      <w:r w:rsidR="001E1684" w:rsidRPr="007647B4">
        <w:rPr>
          <w:rFonts w:asciiTheme="minorHAnsi" w:hAnsiTheme="minorHAnsi" w:cstheme="minorHAnsi"/>
          <w:color w:val="000000" w:themeColor="text1"/>
          <w:sz w:val="22"/>
          <w:szCs w:val="22"/>
          <w:vertAlign w:val="superscript"/>
        </w:rPr>
        <w:t>,</w:t>
      </w:r>
      <w:r w:rsidR="008A35D7" w:rsidRPr="007647B4">
        <w:rPr>
          <w:rStyle w:val="FootnoteReference"/>
          <w:rFonts w:asciiTheme="minorHAnsi" w:hAnsiTheme="minorHAnsi" w:cstheme="minorHAnsi"/>
          <w:color w:val="000000" w:themeColor="text1"/>
          <w:sz w:val="22"/>
          <w:szCs w:val="22"/>
        </w:rPr>
        <w:footnoteReference w:id="11"/>
      </w:r>
      <w:r w:rsidR="001E1684" w:rsidRPr="007647B4">
        <w:rPr>
          <w:rFonts w:asciiTheme="minorHAnsi" w:hAnsiTheme="minorHAnsi" w:cstheme="minorHAnsi"/>
          <w:color w:val="000000" w:themeColor="text1"/>
          <w:sz w:val="22"/>
          <w:szCs w:val="22"/>
          <w:vertAlign w:val="superscript"/>
        </w:rPr>
        <w:t>,</w:t>
      </w:r>
      <w:r w:rsidR="008A35D7" w:rsidRPr="007647B4">
        <w:rPr>
          <w:rStyle w:val="FootnoteReference"/>
          <w:rFonts w:asciiTheme="minorHAnsi" w:hAnsiTheme="minorHAnsi" w:cstheme="minorHAnsi"/>
          <w:color w:val="000000" w:themeColor="text1"/>
          <w:sz w:val="22"/>
          <w:szCs w:val="22"/>
        </w:rPr>
        <w:footnoteReference w:id="12"/>
      </w:r>
      <w:r w:rsidRPr="007647B4">
        <w:rPr>
          <w:rFonts w:asciiTheme="minorHAnsi" w:hAnsiTheme="minorHAnsi" w:cstheme="minorHAnsi"/>
          <w:color w:val="000000" w:themeColor="text1"/>
          <w:sz w:val="22"/>
          <w:szCs w:val="22"/>
        </w:rPr>
        <w:t xml:space="preserve"> as well as secondhand smoke risks</w:t>
      </w:r>
      <w:r w:rsidR="008A35D7" w:rsidRPr="007647B4">
        <w:rPr>
          <w:rFonts w:asciiTheme="minorHAnsi" w:hAnsiTheme="minorHAnsi" w:cstheme="minorHAnsi"/>
          <w:color w:val="000000" w:themeColor="text1"/>
          <w:sz w:val="22"/>
          <w:szCs w:val="22"/>
        </w:rPr>
        <w:t>.</w:t>
      </w:r>
      <w:r w:rsidR="008A35D7" w:rsidRPr="007647B4">
        <w:rPr>
          <w:rStyle w:val="FootnoteReference"/>
          <w:rFonts w:asciiTheme="minorHAnsi" w:hAnsiTheme="minorHAnsi" w:cstheme="minorHAnsi"/>
          <w:color w:val="000000" w:themeColor="text1"/>
          <w:sz w:val="22"/>
          <w:szCs w:val="22"/>
        </w:rPr>
        <w:footnoteReference w:id="13"/>
      </w:r>
      <w:r w:rsidR="008A35D7"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Cannabis and tobacco smoke share similar toxicity profiles</w:t>
      </w:r>
      <w:r w:rsidR="001E1684" w:rsidRPr="007647B4">
        <w:rPr>
          <w:rFonts w:asciiTheme="minorHAnsi" w:hAnsiTheme="minorHAnsi" w:cstheme="minorHAnsi"/>
          <w:color w:val="000000" w:themeColor="text1"/>
          <w:sz w:val="22"/>
          <w:szCs w:val="22"/>
        </w:rPr>
        <w:t>,</w:t>
      </w:r>
      <w:r w:rsidR="008A35D7" w:rsidRPr="007647B4">
        <w:rPr>
          <w:rStyle w:val="FootnoteReference"/>
          <w:rFonts w:asciiTheme="minorHAnsi" w:hAnsiTheme="minorHAnsi" w:cstheme="minorHAnsi"/>
          <w:color w:val="000000" w:themeColor="text1"/>
          <w:sz w:val="22"/>
          <w:szCs w:val="22"/>
        </w:rPr>
        <w:footnoteReference w:id="14"/>
      </w:r>
      <w:r w:rsidRPr="007647B4">
        <w:rPr>
          <w:rFonts w:asciiTheme="minorHAnsi" w:hAnsiTheme="minorHAnsi" w:cstheme="minorHAnsi"/>
          <w:color w:val="000000" w:themeColor="text1"/>
          <w:sz w:val="22"/>
          <w:szCs w:val="22"/>
        </w:rPr>
        <w:t xml:space="preserve"> and California has identified cannabis smoke as a known human carcinogen since 2009</w:t>
      </w:r>
      <w:r w:rsidR="008A35D7" w:rsidRPr="007647B4">
        <w:rPr>
          <w:rFonts w:asciiTheme="minorHAnsi" w:hAnsiTheme="minorHAnsi" w:cstheme="minorHAnsi"/>
          <w:color w:val="000000" w:themeColor="text1"/>
          <w:sz w:val="22"/>
          <w:szCs w:val="22"/>
        </w:rPr>
        <w:t>.</w:t>
      </w:r>
      <w:r w:rsidR="008A35D7" w:rsidRPr="007647B4">
        <w:rPr>
          <w:rStyle w:val="FootnoteReference"/>
          <w:rFonts w:asciiTheme="minorHAnsi" w:hAnsiTheme="minorHAnsi" w:cstheme="minorHAnsi"/>
          <w:color w:val="000000" w:themeColor="text1"/>
          <w:sz w:val="22"/>
          <w:szCs w:val="22"/>
        </w:rPr>
        <w:footnoteReference w:id="15"/>
      </w:r>
      <w:r w:rsidR="001E1684" w:rsidRPr="007647B4">
        <w:rPr>
          <w:rFonts w:asciiTheme="minorHAnsi" w:hAnsiTheme="minorHAnsi" w:cstheme="minorHAnsi"/>
          <w:color w:val="000000" w:themeColor="text1"/>
          <w:sz w:val="22"/>
          <w:szCs w:val="22"/>
          <w:vertAlign w:val="superscript"/>
        </w:rPr>
        <w:t>,</w:t>
      </w:r>
      <w:r w:rsidR="008A35D7" w:rsidRPr="007647B4">
        <w:rPr>
          <w:rStyle w:val="FootnoteReference"/>
          <w:rFonts w:asciiTheme="minorHAnsi" w:hAnsiTheme="minorHAnsi" w:cstheme="minorHAnsi"/>
          <w:color w:val="000000" w:themeColor="text1"/>
          <w:sz w:val="22"/>
          <w:szCs w:val="22"/>
        </w:rPr>
        <w:footnoteReference w:id="16"/>
      </w:r>
      <w:r w:rsidR="008A35D7"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Daily cannabis use by youth is associated with more than halving high school graduation rates</w:t>
      </w:r>
      <w:r w:rsidR="008A35D7" w:rsidRPr="007647B4">
        <w:rPr>
          <w:rFonts w:asciiTheme="minorHAnsi" w:hAnsiTheme="minorHAnsi" w:cstheme="minorHAnsi"/>
          <w:color w:val="000000" w:themeColor="text1"/>
          <w:sz w:val="22"/>
          <w:szCs w:val="22"/>
        </w:rPr>
        <w:t>.</w:t>
      </w:r>
      <w:r w:rsidR="008A35D7" w:rsidRPr="007647B4">
        <w:rPr>
          <w:rStyle w:val="FootnoteReference"/>
          <w:rFonts w:asciiTheme="minorHAnsi" w:hAnsiTheme="minorHAnsi" w:cstheme="minorHAnsi"/>
          <w:color w:val="000000" w:themeColor="text1"/>
          <w:sz w:val="22"/>
          <w:szCs w:val="22"/>
        </w:rPr>
        <w:footnoteReference w:id="17"/>
      </w:r>
      <w:r w:rsidR="008A35D7" w:rsidRPr="007647B4">
        <w:rPr>
          <w:rFonts w:asciiTheme="minorHAnsi" w:hAnsiTheme="minorHAnsi" w:cstheme="minorHAnsi"/>
          <w:color w:val="000000" w:themeColor="text1"/>
          <w:sz w:val="22"/>
          <w:szCs w:val="22"/>
        </w:rPr>
        <w:t xml:space="preserve"> </w:t>
      </w:r>
      <w:r w:rsidR="00AF6AB0" w:rsidRPr="007647B4">
        <w:rPr>
          <w:rFonts w:asciiTheme="minorHAnsi" w:hAnsiTheme="minorHAnsi" w:cstheme="minorHAnsi"/>
          <w:color w:val="000000" w:themeColor="text1"/>
          <w:sz w:val="22"/>
          <w:szCs w:val="22"/>
        </w:rPr>
        <w:t>While some clear evidence exists, the full portrait of</w:t>
      </w:r>
      <w:r w:rsidRPr="007647B4">
        <w:rPr>
          <w:rFonts w:asciiTheme="minorHAnsi" w:hAnsiTheme="minorHAnsi" w:cstheme="minorHAnsi"/>
          <w:color w:val="000000" w:themeColor="text1"/>
          <w:sz w:val="22"/>
          <w:szCs w:val="22"/>
        </w:rPr>
        <w:t xml:space="preserve"> cannabis’s negative health effects and</w:t>
      </w:r>
      <w:r w:rsidR="00AF6AB0" w:rsidRPr="007647B4">
        <w:rPr>
          <w:rFonts w:asciiTheme="minorHAnsi" w:hAnsiTheme="minorHAnsi" w:cstheme="minorHAnsi"/>
          <w:color w:val="000000" w:themeColor="text1"/>
          <w:sz w:val="22"/>
          <w:szCs w:val="22"/>
        </w:rPr>
        <w:t>/or</w:t>
      </w:r>
      <w:r w:rsidRPr="007647B4">
        <w:rPr>
          <w:rFonts w:asciiTheme="minorHAnsi" w:hAnsiTheme="minorHAnsi" w:cstheme="minorHAnsi"/>
          <w:color w:val="000000" w:themeColor="text1"/>
          <w:sz w:val="22"/>
          <w:szCs w:val="22"/>
        </w:rPr>
        <w:t xml:space="preserve"> medical efficacy is still </w:t>
      </w:r>
      <w:r w:rsidR="00AF6AB0" w:rsidRPr="007647B4">
        <w:rPr>
          <w:rFonts w:asciiTheme="minorHAnsi" w:hAnsiTheme="minorHAnsi" w:cstheme="minorHAnsi"/>
          <w:color w:val="000000" w:themeColor="text1"/>
          <w:sz w:val="22"/>
          <w:szCs w:val="22"/>
        </w:rPr>
        <w:t>emerging, and will continue to do so</w:t>
      </w:r>
      <w:r w:rsidRPr="007647B4">
        <w:rPr>
          <w:rFonts w:asciiTheme="minorHAnsi" w:hAnsiTheme="minorHAnsi" w:cstheme="minorHAnsi"/>
          <w:color w:val="000000" w:themeColor="text1"/>
          <w:sz w:val="22"/>
          <w:szCs w:val="22"/>
        </w:rPr>
        <w:t xml:space="preserve"> in the coming years, owing largely to longstanding barriers to research stemming from illegality</w:t>
      </w:r>
      <w:r w:rsidR="00AF6AB0" w:rsidRPr="007647B4">
        <w:rPr>
          <w:rFonts w:asciiTheme="minorHAnsi" w:hAnsiTheme="minorHAnsi" w:cstheme="minorHAnsi"/>
          <w:color w:val="000000" w:themeColor="text1"/>
          <w:sz w:val="22"/>
          <w:szCs w:val="22"/>
        </w:rPr>
        <w:t>, as well as constant change in the products in use</w:t>
      </w:r>
      <w:r w:rsidR="00CA5DFE" w:rsidRPr="007647B4">
        <w:rPr>
          <w:rFonts w:asciiTheme="minorHAnsi" w:hAnsiTheme="minorHAnsi" w:cstheme="minorHAnsi"/>
          <w:color w:val="000000" w:themeColor="text1"/>
          <w:sz w:val="22"/>
          <w:szCs w:val="22"/>
        </w:rPr>
        <w:t>.</w:t>
      </w:r>
      <w:r w:rsidR="00CA5DFE" w:rsidRPr="007647B4">
        <w:rPr>
          <w:rStyle w:val="FootnoteReference"/>
          <w:rFonts w:asciiTheme="minorHAnsi" w:hAnsiTheme="minorHAnsi" w:cstheme="minorHAnsi"/>
          <w:color w:val="000000" w:themeColor="text1"/>
          <w:sz w:val="22"/>
          <w:szCs w:val="22"/>
        </w:rPr>
        <w:footnoteReference w:id="18"/>
      </w:r>
      <w:r w:rsidR="001E1684" w:rsidRPr="007647B4">
        <w:rPr>
          <w:rFonts w:asciiTheme="minorHAnsi" w:hAnsiTheme="minorHAnsi" w:cstheme="minorHAnsi"/>
          <w:color w:val="000000" w:themeColor="text1"/>
          <w:sz w:val="22"/>
          <w:szCs w:val="22"/>
          <w:vertAlign w:val="superscript"/>
        </w:rPr>
        <w:t>,</w:t>
      </w:r>
      <w:r w:rsidR="00CA5DFE" w:rsidRPr="007647B4">
        <w:rPr>
          <w:rStyle w:val="FootnoteReference"/>
          <w:rFonts w:asciiTheme="minorHAnsi" w:hAnsiTheme="minorHAnsi" w:cstheme="minorHAnsi"/>
          <w:color w:val="000000" w:themeColor="text1"/>
          <w:sz w:val="22"/>
          <w:szCs w:val="22"/>
        </w:rPr>
        <w:footnoteReference w:id="19"/>
      </w:r>
      <w:r w:rsidRPr="007647B4">
        <w:rPr>
          <w:rFonts w:asciiTheme="minorHAnsi" w:hAnsiTheme="minorHAnsi" w:cstheme="minorHAnsi"/>
          <w:color w:val="000000" w:themeColor="text1"/>
          <w:sz w:val="22"/>
          <w:szCs w:val="22"/>
        </w:rPr>
        <w:t xml:space="preserve"> </w:t>
      </w:r>
    </w:p>
    <w:p w14:paraId="552836B0" w14:textId="77777777" w:rsidR="00226EFE" w:rsidRPr="007647B4" w:rsidRDefault="00226EFE" w:rsidP="001B433F">
      <w:pPr>
        <w:jc w:val="both"/>
        <w:rPr>
          <w:rFonts w:asciiTheme="minorHAnsi" w:hAnsiTheme="minorHAnsi" w:cstheme="minorHAnsi"/>
          <w:color w:val="000000" w:themeColor="text1"/>
          <w:sz w:val="22"/>
          <w:szCs w:val="22"/>
        </w:rPr>
      </w:pPr>
    </w:p>
    <w:p w14:paraId="27BE0479" w14:textId="432F6733" w:rsidR="00A4255B" w:rsidRPr="007647B4" w:rsidRDefault="00A4255B" w:rsidP="00A4255B">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lastRenderedPageBreak/>
        <w:t>Users may opt for manufactured cannabis products to avoid negative health effects associated with combustion,</w:t>
      </w:r>
      <w:r w:rsidRPr="007647B4">
        <w:rPr>
          <w:rStyle w:val="FootnoteReference"/>
          <w:rFonts w:asciiTheme="minorHAnsi" w:hAnsiTheme="minorHAnsi" w:cstheme="minorHAnsi"/>
          <w:color w:val="000000" w:themeColor="text1"/>
          <w:sz w:val="22"/>
          <w:szCs w:val="22"/>
        </w:rPr>
        <w:footnoteReference w:id="20"/>
      </w:r>
      <w:r w:rsidRPr="007647B4">
        <w:rPr>
          <w:rFonts w:asciiTheme="minorHAnsi" w:hAnsiTheme="minorHAnsi" w:cstheme="minorHAnsi"/>
          <w:color w:val="000000" w:themeColor="text1"/>
          <w:sz w:val="22"/>
          <w:szCs w:val="22"/>
          <w:vertAlign w:val="superscript"/>
        </w:rPr>
        <w:t>,</w:t>
      </w:r>
      <w:r w:rsidRPr="007647B4">
        <w:rPr>
          <w:rStyle w:val="FootnoteReference"/>
          <w:rFonts w:asciiTheme="minorHAnsi" w:hAnsiTheme="minorHAnsi" w:cstheme="minorHAnsi"/>
          <w:color w:val="000000" w:themeColor="text1"/>
          <w:sz w:val="22"/>
          <w:szCs w:val="22"/>
        </w:rPr>
        <w:footnoteReference w:id="21"/>
      </w:r>
      <w:r w:rsidRPr="007647B4">
        <w:rPr>
          <w:rFonts w:asciiTheme="minorHAnsi" w:hAnsiTheme="minorHAnsi" w:cstheme="minorHAnsi"/>
          <w:color w:val="000000" w:themeColor="text1"/>
          <w:sz w:val="22"/>
          <w:szCs w:val="22"/>
        </w:rPr>
        <w:t xml:space="preserve"> but manufactured products also present very significant risks. Some vaporized products (e.g., extracts and oils) are similar to e-cigarettes and sometimes use the same hardware,</w:t>
      </w:r>
      <w:r w:rsidRPr="007647B4">
        <w:rPr>
          <w:rStyle w:val="FootnoteReference"/>
          <w:rFonts w:asciiTheme="minorHAnsi" w:hAnsiTheme="minorHAnsi" w:cstheme="minorHAnsi"/>
          <w:color w:val="000000" w:themeColor="text1"/>
          <w:sz w:val="22"/>
          <w:szCs w:val="22"/>
        </w:rPr>
        <w:footnoteReference w:id="22"/>
      </w:r>
      <w:r w:rsidRPr="007647B4">
        <w:rPr>
          <w:rFonts w:asciiTheme="minorHAnsi" w:hAnsiTheme="minorHAnsi" w:cstheme="minorHAnsi"/>
          <w:color w:val="000000" w:themeColor="text1"/>
          <w:sz w:val="22"/>
          <w:szCs w:val="22"/>
        </w:rPr>
        <w:t xml:space="preserve"> likely presenting similar risks, which for e-cigarettes include inhalation of ultrafine particles and chemical additives that can cause cardiovascular and pulmonary effects.</w:t>
      </w:r>
      <w:r w:rsidRPr="007647B4">
        <w:rPr>
          <w:rStyle w:val="FootnoteReference"/>
          <w:rFonts w:asciiTheme="minorHAnsi" w:hAnsiTheme="minorHAnsi" w:cstheme="minorHAnsi"/>
          <w:color w:val="000000" w:themeColor="text1"/>
          <w:sz w:val="22"/>
          <w:szCs w:val="22"/>
        </w:rPr>
        <w:footnoteReference w:id="23"/>
      </w:r>
      <w:r w:rsidRPr="007647B4">
        <w:rPr>
          <w:rFonts w:asciiTheme="minorHAnsi" w:hAnsiTheme="minorHAnsi" w:cstheme="minorHAnsi"/>
          <w:color w:val="000000" w:themeColor="text1"/>
          <w:sz w:val="22"/>
          <w:szCs w:val="22"/>
          <w:vertAlign w:val="superscript"/>
        </w:rPr>
        <w:t>,</w:t>
      </w:r>
      <w:r w:rsidRPr="007647B4">
        <w:rPr>
          <w:rStyle w:val="FootnoteReference"/>
          <w:rFonts w:asciiTheme="minorHAnsi" w:hAnsiTheme="minorHAnsi" w:cstheme="minorHAnsi"/>
          <w:color w:val="000000" w:themeColor="text1"/>
          <w:sz w:val="22"/>
          <w:szCs w:val="22"/>
        </w:rPr>
        <w:footnoteReference w:id="24"/>
      </w:r>
      <w:r w:rsidRPr="007647B4">
        <w:rPr>
          <w:rFonts w:asciiTheme="minorHAnsi" w:hAnsiTheme="minorHAnsi" w:cstheme="minorHAnsi"/>
          <w:color w:val="000000" w:themeColor="text1"/>
          <w:sz w:val="22"/>
          <w:szCs w:val="22"/>
          <w:vertAlign w:val="superscript"/>
        </w:rPr>
        <w:t>,</w:t>
      </w:r>
      <w:r w:rsidRPr="007647B4">
        <w:rPr>
          <w:rStyle w:val="FootnoteReference"/>
          <w:rFonts w:asciiTheme="minorHAnsi" w:hAnsiTheme="minorHAnsi" w:cstheme="minorHAnsi"/>
          <w:color w:val="000000" w:themeColor="text1"/>
          <w:sz w:val="22"/>
          <w:szCs w:val="22"/>
        </w:rPr>
        <w:footnoteReference w:id="25"/>
      </w:r>
      <w:r w:rsidRPr="007647B4">
        <w:rPr>
          <w:rFonts w:asciiTheme="minorHAnsi" w:hAnsiTheme="minorHAnsi" w:cstheme="minorHAnsi"/>
          <w:color w:val="000000" w:themeColor="text1"/>
          <w:sz w:val="22"/>
          <w:szCs w:val="22"/>
          <w:vertAlign w:val="superscript"/>
        </w:rPr>
        <w:t>,</w:t>
      </w:r>
      <w:r w:rsidRPr="007647B4">
        <w:rPr>
          <w:rStyle w:val="FootnoteReference"/>
          <w:rFonts w:asciiTheme="minorHAnsi" w:hAnsiTheme="minorHAnsi" w:cstheme="minorHAnsi"/>
          <w:color w:val="000000" w:themeColor="text1"/>
          <w:sz w:val="22"/>
          <w:szCs w:val="22"/>
        </w:rPr>
        <w:footnoteReference w:id="26"/>
      </w:r>
      <w:r w:rsidRPr="007647B4">
        <w:rPr>
          <w:rFonts w:asciiTheme="minorHAnsi" w:hAnsiTheme="minorHAnsi" w:cstheme="minorHAnsi"/>
          <w:color w:val="000000" w:themeColor="text1"/>
          <w:sz w:val="22"/>
          <w:szCs w:val="22"/>
          <w:vertAlign w:val="superscript"/>
        </w:rPr>
        <w:t xml:space="preserve"> </w:t>
      </w:r>
      <w:r w:rsidRPr="007647B4">
        <w:rPr>
          <w:rFonts w:asciiTheme="minorHAnsi" w:hAnsiTheme="minorHAnsi" w:cstheme="minorHAnsi"/>
          <w:color w:val="000000" w:themeColor="text1"/>
          <w:sz w:val="22"/>
          <w:szCs w:val="22"/>
        </w:rPr>
        <w:t>High-potency cannabis concentrates may increase risks for dependence, tolerance, and withdrawal,</w:t>
      </w:r>
      <w:r w:rsidRPr="007647B4">
        <w:rPr>
          <w:rStyle w:val="FootnoteReference"/>
          <w:rFonts w:asciiTheme="minorHAnsi" w:hAnsiTheme="minorHAnsi" w:cstheme="minorHAnsi"/>
          <w:color w:val="000000" w:themeColor="text1"/>
          <w:sz w:val="22"/>
          <w:szCs w:val="22"/>
        </w:rPr>
        <w:footnoteReference w:id="27"/>
      </w:r>
      <w:r w:rsidRPr="007647B4">
        <w:rPr>
          <w:rFonts w:asciiTheme="minorHAnsi" w:hAnsiTheme="minorHAnsi" w:cstheme="minorHAnsi"/>
          <w:color w:val="000000" w:themeColor="text1"/>
          <w:sz w:val="22"/>
          <w:szCs w:val="22"/>
        </w:rPr>
        <w:t xml:space="preserve"> and heating these concentrates for inhalation (“dabbing,” which can produce combustion at higher temperatures</w:t>
      </w:r>
      <w:r w:rsidRPr="007647B4">
        <w:rPr>
          <w:rStyle w:val="FootnoteReference"/>
          <w:rFonts w:asciiTheme="minorHAnsi" w:hAnsiTheme="minorHAnsi" w:cstheme="minorHAnsi"/>
          <w:color w:val="000000" w:themeColor="text1"/>
          <w:sz w:val="22"/>
          <w:szCs w:val="22"/>
        </w:rPr>
        <w:footnoteReference w:id="28"/>
      </w:r>
      <w:r w:rsidRPr="007647B4">
        <w:rPr>
          <w:rFonts w:asciiTheme="minorHAnsi" w:hAnsiTheme="minorHAnsi" w:cstheme="minorHAnsi"/>
          <w:color w:val="000000" w:themeColor="text1"/>
          <w:sz w:val="22"/>
          <w:szCs w:val="22"/>
        </w:rPr>
        <w:t>) can release toxic chemicals including methacrolein and benzene.</w:t>
      </w:r>
      <w:r w:rsidRPr="007647B4">
        <w:rPr>
          <w:rStyle w:val="FootnoteReference"/>
          <w:rFonts w:asciiTheme="minorHAnsi" w:hAnsiTheme="minorHAnsi" w:cstheme="minorHAnsi"/>
          <w:color w:val="000000" w:themeColor="text1"/>
          <w:sz w:val="22"/>
          <w:szCs w:val="22"/>
        </w:rPr>
        <w:footnoteReference w:id="29"/>
      </w:r>
      <w:r w:rsidRPr="007647B4">
        <w:rPr>
          <w:rFonts w:asciiTheme="minorHAnsi" w:hAnsiTheme="minorHAnsi" w:cstheme="minorHAnsi"/>
          <w:color w:val="000000" w:themeColor="text1"/>
          <w:sz w:val="22"/>
          <w:szCs w:val="22"/>
        </w:rPr>
        <w:t xml:space="preserve"> Edibles can be unintentionally overconsumed by adults</w:t>
      </w:r>
      <w:r w:rsidRPr="007647B4">
        <w:rPr>
          <w:rStyle w:val="FootnoteReference"/>
          <w:rFonts w:asciiTheme="minorHAnsi" w:hAnsiTheme="minorHAnsi" w:cstheme="minorHAnsi"/>
          <w:color w:val="000000" w:themeColor="text1"/>
          <w:sz w:val="22"/>
          <w:szCs w:val="22"/>
        </w:rPr>
        <w:footnoteReference w:id="30"/>
      </w:r>
      <w:r w:rsidR="00DA6B6F"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and accidentally consumed by children.</w:t>
      </w:r>
      <w:r w:rsidRPr="007647B4">
        <w:rPr>
          <w:rStyle w:val="FootnoteReference"/>
          <w:rFonts w:asciiTheme="minorHAnsi" w:hAnsiTheme="minorHAnsi" w:cstheme="minorHAnsi"/>
          <w:color w:val="000000" w:themeColor="text1"/>
          <w:sz w:val="22"/>
          <w:szCs w:val="22"/>
        </w:rPr>
        <w:footnoteReference w:id="31"/>
      </w:r>
      <w:r w:rsidRPr="007647B4">
        <w:rPr>
          <w:rFonts w:asciiTheme="minorHAnsi" w:hAnsiTheme="minorHAnsi" w:cstheme="minorHAnsi"/>
          <w:color w:val="000000" w:themeColor="text1"/>
          <w:sz w:val="22"/>
          <w:szCs w:val="22"/>
        </w:rPr>
        <w:t xml:space="preserve"> Most importantly, through aggressive diversification of the cannabis supply, in particular imitation of processed foods, the industry will (whether intended or not) attract youth and adults, create new consumers, and increase consumption </w:t>
      </w:r>
      <w:r w:rsidR="0043680E" w:rsidRPr="007647B4">
        <w:rPr>
          <w:rFonts w:asciiTheme="minorHAnsi" w:hAnsiTheme="minorHAnsi" w:cstheme="minorHAnsi"/>
          <w:color w:val="000000" w:themeColor="text1"/>
          <w:sz w:val="22"/>
          <w:szCs w:val="22"/>
        </w:rPr>
        <w:t>by</w:t>
      </w:r>
      <w:r w:rsidRPr="007647B4">
        <w:rPr>
          <w:rFonts w:asciiTheme="minorHAnsi" w:hAnsiTheme="minorHAnsi" w:cstheme="minorHAnsi"/>
          <w:color w:val="000000" w:themeColor="text1"/>
          <w:sz w:val="22"/>
          <w:szCs w:val="22"/>
        </w:rPr>
        <w:t xml:space="preserve"> existing consumers.</w:t>
      </w:r>
    </w:p>
    <w:p w14:paraId="1291968A" w14:textId="22E5B7F9" w:rsidR="00407069" w:rsidRPr="007647B4" w:rsidRDefault="00407069" w:rsidP="00226EFE">
      <w:pPr>
        <w:jc w:val="both"/>
        <w:rPr>
          <w:rFonts w:asciiTheme="minorHAnsi" w:hAnsiTheme="minorHAnsi" w:cstheme="minorHAnsi"/>
          <w:color w:val="000000" w:themeColor="text1"/>
          <w:sz w:val="22"/>
          <w:szCs w:val="22"/>
        </w:rPr>
      </w:pPr>
    </w:p>
    <w:p w14:paraId="058E76F0" w14:textId="0C96EC11" w:rsidR="00316817" w:rsidRPr="007647B4" w:rsidRDefault="00316817" w:rsidP="00226EFE">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California is the largest US medical cannabis market and will be the largest legal adult</w:t>
      </w:r>
      <w:r w:rsidR="0043680E" w:rsidRPr="007647B4">
        <w:rPr>
          <w:rFonts w:asciiTheme="minorHAnsi" w:hAnsiTheme="minorHAnsi" w:cstheme="minorHAnsi"/>
          <w:color w:val="000000" w:themeColor="text1"/>
          <w:sz w:val="22"/>
          <w:szCs w:val="22"/>
        </w:rPr>
        <w:t>-</w:t>
      </w:r>
      <w:r w:rsidRPr="007647B4">
        <w:rPr>
          <w:rFonts w:asciiTheme="minorHAnsi" w:hAnsiTheme="minorHAnsi" w:cstheme="minorHAnsi"/>
          <w:color w:val="000000" w:themeColor="text1"/>
          <w:sz w:val="22"/>
          <w:szCs w:val="22"/>
        </w:rPr>
        <w:t>use market in the world, with the potential to influence national and global policy. It is critically important that the Department of Public Health</w:t>
      </w:r>
      <w:r w:rsidR="00AF6AB0" w:rsidRPr="007647B4">
        <w:rPr>
          <w:rFonts w:asciiTheme="minorHAnsi" w:hAnsiTheme="minorHAnsi" w:cstheme="minorHAnsi"/>
          <w:color w:val="000000" w:themeColor="text1"/>
          <w:sz w:val="22"/>
          <w:szCs w:val="22"/>
        </w:rPr>
        <w:t xml:space="preserve"> recognize the current and likely future health impacts and</w:t>
      </w:r>
      <w:r w:rsidR="00DA6B6F"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model its cannabis regulations on best practices from established public health frameworks for regulating tobacco and alcohol</w:t>
      </w:r>
      <w:r w:rsidR="00BA3ED8" w:rsidRPr="007647B4">
        <w:rPr>
          <w:rFonts w:asciiTheme="minorHAnsi" w:hAnsiTheme="minorHAnsi" w:cstheme="minorHAnsi"/>
          <w:color w:val="000000" w:themeColor="text1"/>
          <w:sz w:val="22"/>
          <w:szCs w:val="22"/>
        </w:rPr>
        <w:t>.</w:t>
      </w:r>
      <w:r w:rsidR="00BA3ED8" w:rsidRPr="007647B4">
        <w:rPr>
          <w:rStyle w:val="FootnoteReference"/>
          <w:rFonts w:asciiTheme="minorHAnsi" w:hAnsiTheme="minorHAnsi" w:cstheme="minorHAnsi"/>
          <w:color w:val="000000" w:themeColor="text1"/>
          <w:sz w:val="22"/>
          <w:szCs w:val="22"/>
        </w:rPr>
        <w:footnoteReference w:id="32"/>
      </w:r>
      <w:r w:rsidR="00AF6AB0" w:rsidRPr="007647B4">
        <w:rPr>
          <w:rFonts w:asciiTheme="minorHAnsi" w:hAnsiTheme="minorHAnsi" w:cstheme="minorHAnsi"/>
          <w:color w:val="000000" w:themeColor="text1"/>
          <w:sz w:val="22"/>
          <w:szCs w:val="22"/>
          <w:vertAlign w:val="superscript"/>
        </w:rPr>
        <w:t>,</w:t>
      </w:r>
      <w:r w:rsidR="00BA3ED8" w:rsidRPr="007647B4">
        <w:rPr>
          <w:rStyle w:val="FootnoteReference"/>
          <w:rFonts w:asciiTheme="minorHAnsi" w:hAnsiTheme="minorHAnsi" w:cstheme="minorHAnsi"/>
          <w:color w:val="000000" w:themeColor="text1"/>
          <w:sz w:val="22"/>
          <w:szCs w:val="22"/>
        </w:rPr>
        <w:footnoteReference w:id="33"/>
      </w:r>
      <w:r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b/>
          <w:color w:val="000000" w:themeColor="text1"/>
          <w:sz w:val="22"/>
          <w:szCs w:val="22"/>
        </w:rPr>
        <w:t xml:space="preserve">Public health objectives require that both cannabis markets be well controlled and designed to prevent diversion to illicit markets, abuse, </w:t>
      </w:r>
      <w:r w:rsidR="000B7EE5" w:rsidRPr="007647B4">
        <w:rPr>
          <w:rFonts w:asciiTheme="minorHAnsi" w:hAnsiTheme="minorHAnsi" w:cstheme="minorHAnsi"/>
          <w:b/>
          <w:color w:val="000000" w:themeColor="text1"/>
          <w:sz w:val="22"/>
          <w:szCs w:val="22"/>
        </w:rPr>
        <w:t xml:space="preserve">negative health effects, </w:t>
      </w:r>
      <w:r w:rsidRPr="007647B4">
        <w:rPr>
          <w:rFonts w:asciiTheme="minorHAnsi" w:hAnsiTheme="minorHAnsi" w:cstheme="minorHAnsi"/>
          <w:b/>
          <w:color w:val="000000" w:themeColor="text1"/>
          <w:sz w:val="22"/>
          <w:szCs w:val="22"/>
        </w:rPr>
        <w:t xml:space="preserve">increased prevalence, youth use, and the creation of a powerful industry that may encourage </w:t>
      </w:r>
      <w:r w:rsidR="00AF6AB0" w:rsidRPr="007647B4">
        <w:rPr>
          <w:rFonts w:asciiTheme="minorHAnsi" w:hAnsiTheme="minorHAnsi" w:cstheme="minorHAnsi"/>
          <w:b/>
          <w:color w:val="000000" w:themeColor="text1"/>
          <w:sz w:val="22"/>
          <w:szCs w:val="22"/>
        </w:rPr>
        <w:t>addiction and harmful use</w:t>
      </w:r>
      <w:r w:rsidRPr="007647B4">
        <w:rPr>
          <w:rFonts w:asciiTheme="minorHAnsi" w:hAnsiTheme="minorHAnsi" w:cstheme="minorHAnsi"/>
          <w:b/>
          <w:color w:val="000000" w:themeColor="text1"/>
          <w:sz w:val="22"/>
          <w:szCs w:val="22"/>
        </w:rPr>
        <w:t xml:space="preserve"> using methods commonly employed by the tobacco and alcohol industries. Our state has a moral responsibility to its residents to “Get it Right from the Start.”</w:t>
      </w:r>
    </w:p>
    <w:p w14:paraId="52AF9F9D" w14:textId="1AC26AB0" w:rsidR="00316817" w:rsidRPr="007647B4" w:rsidRDefault="00316817" w:rsidP="00226EFE">
      <w:pPr>
        <w:jc w:val="both"/>
        <w:rPr>
          <w:rFonts w:asciiTheme="minorHAnsi" w:hAnsiTheme="minorHAnsi" w:cstheme="minorHAnsi"/>
          <w:color w:val="000000" w:themeColor="text1"/>
          <w:sz w:val="22"/>
          <w:szCs w:val="22"/>
        </w:rPr>
      </w:pPr>
    </w:p>
    <w:p w14:paraId="2F83A8D2" w14:textId="61C10E8E" w:rsidR="00E655DB" w:rsidRPr="007647B4" w:rsidRDefault="00E655DB" w:rsidP="00226EFE">
      <w:pPr>
        <w:jc w:val="both"/>
        <w:rPr>
          <w:rFonts w:asciiTheme="minorHAnsi" w:hAnsiTheme="minorHAnsi" w:cstheme="minorHAnsi"/>
          <w:b/>
          <w:color w:val="000000" w:themeColor="text1"/>
          <w:sz w:val="22"/>
          <w:szCs w:val="22"/>
        </w:rPr>
      </w:pPr>
      <w:r w:rsidRPr="007647B4">
        <w:rPr>
          <w:rFonts w:asciiTheme="minorHAnsi" w:hAnsiTheme="minorHAnsi" w:cstheme="minorHAnsi"/>
          <w:b/>
          <w:color w:val="000000" w:themeColor="text1"/>
          <w:sz w:val="22"/>
          <w:szCs w:val="22"/>
        </w:rPr>
        <w:t>Specific Recommendations:</w:t>
      </w:r>
    </w:p>
    <w:p w14:paraId="46584091" w14:textId="42B1D27E" w:rsidR="00E655DB" w:rsidRPr="007647B4" w:rsidRDefault="00E655DB" w:rsidP="00226EFE">
      <w:pPr>
        <w:jc w:val="both"/>
        <w:rPr>
          <w:rFonts w:asciiTheme="minorHAnsi" w:hAnsiTheme="minorHAnsi" w:cstheme="minorHAnsi"/>
          <w:b/>
          <w:color w:val="000000" w:themeColor="text1"/>
          <w:sz w:val="22"/>
          <w:szCs w:val="22"/>
        </w:rPr>
      </w:pPr>
    </w:p>
    <w:p w14:paraId="3AE5011E" w14:textId="43199CFB" w:rsidR="00E655DB" w:rsidRPr="007647B4" w:rsidRDefault="00E655DB" w:rsidP="00226EFE">
      <w:pPr>
        <w:jc w:val="both"/>
        <w:rPr>
          <w:rFonts w:asciiTheme="minorHAnsi" w:hAnsiTheme="minorHAnsi" w:cstheme="minorHAnsi"/>
          <w:b/>
          <w:color w:val="000000" w:themeColor="text1"/>
          <w:sz w:val="22"/>
          <w:szCs w:val="22"/>
        </w:rPr>
      </w:pPr>
      <w:r w:rsidRPr="007647B4">
        <w:rPr>
          <w:rFonts w:asciiTheme="minorHAnsi" w:hAnsiTheme="minorHAnsi" w:cstheme="minorHAnsi"/>
          <w:b/>
          <w:color w:val="000000" w:themeColor="text1"/>
          <w:sz w:val="22"/>
          <w:szCs w:val="22"/>
        </w:rPr>
        <w:t>Positive Provisions</w:t>
      </w:r>
    </w:p>
    <w:p w14:paraId="58EB072D" w14:textId="44CD7854" w:rsidR="00E655DB" w:rsidRPr="007647B4" w:rsidRDefault="00E655DB" w:rsidP="00226EFE">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Many elements of the proposed regulations keep and maintain elements from the emergency regulations that are consistent with public health best practices. The proposed text of regulations </w:t>
      </w:r>
      <w:r w:rsidR="001E1684" w:rsidRPr="007647B4">
        <w:rPr>
          <w:rFonts w:asciiTheme="minorHAnsi" w:hAnsiTheme="minorHAnsi" w:cstheme="minorHAnsi"/>
          <w:color w:val="000000" w:themeColor="text1"/>
          <w:sz w:val="22"/>
          <w:szCs w:val="22"/>
        </w:rPr>
        <w:t>contains</w:t>
      </w:r>
      <w:r w:rsidRPr="007647B4">
        <w:rPr>
          <w:rFonts w:asciiTheme="minorHAnsi" w:hAnsiTheme="minorHAnsi" w:cstheme="minorHAnsi"/>
          <w:color w:val="000000" w:themeColor="text1"/>
          <w:sz w:val="22"/>
          <w:szCs w:val="22"/>
        </w:rPr>
        <w:t xml:space="preserve"> some important and valuable provisions for structuring the process of legalization. These include:</w:t>
      </w:r>
    </w:p>
    <w:p w14:paraId="06B29490" w14:textId="2F6D1327" w:rsidR="00E655DB" w:rsidRPr="007647B4" w:rsidRDefault="00E655DB" w:rsidP="00226EFE">
      <w:pPr>
        <w:jc w:val="both"/>
        <w:rPr>
          <w:rFonts w:asciiTheme="minorHAnsi" w:hAnsiTheme="minorHAnsi" w:cstheme="minorHAnsi"/>
          <w:color w:val="000000" w:themeColor="text1"/>
          <w:sz w:val="22"/>
          <w:szCs w:val="22"/>
        </w:rPr>
      </w:pPr>
    </w:p>
    <w:p w14:paraId="06847D4A" w14:textId="141A28F4" w:rsidR="00FC507E" w:rsidRPr="00EE331A" w:rsidRDefault="00FC507E" w:rsidP="00226EFE">
      <w:pPr>
        <w:pStyle w:val="ListParagraph"/>
        <w:numPr>
          <w:ilvl w:val="0"/>
          <w:numId w:val="1"/>
        </w:numPr>
        <w:jc w:val="both"/>
        <w:rPr>
          <w:rFonts w:asciiTheme="minorHAnsi" w:hAnsiTheme="minorHAnsi" w:cstheme="minorHAnsi"/>
          <w:color w:val="000000" w:themeColor="text1"/>
          <w:sz w:val="22"/>
          <w:szCs w:val="22"/>
        </w:rPr>
      </w:pPr>
      <w:r w:rsidRPr="00D32EBA">
        <w:rPr>
          <w:rFonts w:asciiTheme="minorHAnsi" w:hAnsiTheme="minorHAnsi" w:cstheme="minorHAnsi"/>
          <w:color w:val="000000" w:themeColor="text1"/>
          <w:sz w:val="22"/>
          <w:szCs w:val="22"/>
        </w:rPr>
        <w:lastRenderedPageBreak/>
        <w:t>Adding to the definition of “edible cannabis product” to clarify that it includes products that “resemble conventional food or beverages and cannabis products that dissolve or disintegrate in the mouth” (§</w:t>
      </w:r>
      <w:r w:rsidR="001B2BE9" w:rsidRPr="00EE331A">
        <w:rPr>
          <w:rFonts w:asciiTheme="minorHAnsi" w:hAnsiTheme="minorHAnsi" w:cstheme="minorHAnsi"/>
          <w:color w:val="000000" w:themeColor="text1"/>
          <w:sz w:val="22"/>
          <w:szCs w:val="22"/>
        </w:rPr>
        <w:t xml:space="preserve"> </w:t>
      </w:r>
      <w:r w:rsidRPr="00EE331A">
        <w:rPr>
          <w:rFonts w:asciiTheme="minorHAnsi" w:hAnsiTheme="minorHAnsi" w:cstheme="minorHAnsi"/>
          <w:color w:val="000000" w:themeColor="text1"/>
          <w:sz w:val="22"/>
          <w:szCs w:val="22"/>
        </w:rPr>
        <w:t>40100)</w:t>
      </w:r>
    </w:p>
    <w:p w14:paraId="72A4FBDE" w14:textId="73168E36" w:rsidR="00F51626" w:rsidRPr="007647B4" w:rsidRDefault="00F51626" w:rsidP="00226EFE">
      <w:pPr>
        <w:pStyle w:val="ListParagraph"/>
        <w:numPr>
          <w:ilvl w:val="0"/>
          <w:numId w:val="1"/>
        </w:numPr>
        <w:jc w:val="both"/>
        <w:rPr>
          <w:rFonts w:asciiTheme="minorHAnsi" w:hAnsiTheme="minorHAnsi" w:cstheme="minorHAnsi"/>
          <w:sz w:val="22"/>
          <w:szCs w:val="22"/>
        </w:rPr>
      </w:pPr>
      <w:r w:rsidRPr="007647B4">
        <w:rPr>
          <w:rFonts w:asciiTheme="minorHAnsi" w:hAnsiTheme="minorHAnsi" w:cstheme="minorHAnsi"/>
          <w:sz w:val="22"/>
          <w:szCs w:val="22"/>
        </w:rPr>
        <w:t>Requiring manufacturers to provide up-to-date lists of products (§§ 40131(d); 40177(f)) to aid enforcement and potentially enable better tracking of product types and assessment of their public health impacts</w:t>
      </w:r>
    </w:p>
    <w:p w14:paraId="5D0E9D1F" w14:textId="14EB082B" w:rsidR="005323D1" w:rsidRPr="007647B4" w:rsidRDefault="005323D1" w:rsidP="00226EFE">
      <w:pPr>
        <w:pStyle w:val="ListParagraph"/>
        <w:numPr>
          <w:ilvl w:val="0"/>
          <w:numId w:val="1"/>
        </w:num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Prohibiting the manufacture, preparation, packaging and labeling of cannabis products in a location that is operating as a retail food establishment or a location licensed by the Department of Alcoholic Beverage Control (§4</w:t>
      </w:r>
      <w:r w:rsidR="001B2BE9"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0175)</w:t>
      </w:r>
    </w:p>
    <w:p w14:paraId="3FE2DE46" w14:textId="00A200AF" w:rsidR="00316817" w:rsidRPr="007647B4" w:rsidRDefault="00316817" w:rsidP="00226EFE">
      <w:pPr>
        <w:pStyle w:val="ListParagraph"/>
        <w:numPr>
          <w:ilvl w:val="0"/>
          <w:numId w:val="1"/>
        </w:num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Prohibiting products that the Department deems to be attractive to children as well as products in the shape of humans, animals, insects, or fruit</w:t>
      </w:r>
      <w:r w:rsidR="00E655DB" w:rsidRPr="007647B4">
        <w:rPr>
          <w:rFonts w:asciiTheme="minorHAnsi" w:hAnsiTheme="minorHAnsi" w:cstheme="minorHAnsi"/>
          <w:color w:val="000000" w:themeColor="text1"/>
          <w:sz w:val="22"/>
          <w:szCs w:val="22"/>
        </w:rPr>
        <w:t xml:space="preserve"> or imprinted with such shapes</w:t>
      </w:r>
      <w:r w:rsidRPr="007647B4">
        <w:rPr>
          <w:rFonts w:asciiTheme="minorHAnsi" w:hAnsiTheme="minorHAnsi" w:cstheme="minorHAnsi"/>
          <w:color w:val="000000" w:themeColor="text1"/>
          <w:sz w:val="22"/>
          <w:szCs w:val="22"/>
        </w:rPr>
        <w:t xml:space="preserve"> (§ 40300) </w:t>
      </w:r>
    </w:p>
    <w:p w14:paraId="4D45FFCC" w14:textId="17A511BF" w:rsidR="00316817" w:rsidRPr="007647B4" w:rsidRDefault="00316817" w:rsidP="00226EFE">
      <w:pPr>
        <w:pStyle w:val="ListParagraph"/>
        <w:numPr>
          <w:ilvl w:val="0"/>
          <w:numId w:val="1"/>
        </w:num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Prohibiting products easily confused with commercially available foods without cannabis</w:t>
      </w:r>
      <w:r w:rsidR="00E655DB" w:rsidRPr="007647B4">
        <w:rPr>
          <w:rFonts w:asciiTheme="minorHAnsi" w:hAnsiTheme="minorHAnsi" w:cstheme="minorHAnsi"/>
          <w:color w:val="000000" w:themeColor="text1"/>
          <w:sz w:val="22"/>
          <w:szCs w:val="22"/>
        </w:rPr>
        <w:t xml:space="preserve"> and limiting labeling of products that contain commercially available candy or foods</w:t>
      </w:r>
      <w:r w:rsidRPr="007647B4">
        <w:rPr>
          <w:rFonts w:asciiTheme="minorHAnsi" w:hAnsiTheme="minorHAnsi" w:cstheme="minorHAnsi"/>
          <w:color w:val="000000" w:themeColor="text1"/>
          <w:sz w:val="22"/>
          <w:szCs w:val="22"/>
        </w:rPr>
        <w:t xml:space="preserve"> (§ 40300)</w:t>
      </w:r>
    </w:p>
    <w:p w14:paraId="74D64CCA" w14:textId="547E520E" w:rsidR="00E655DB" w:rsidRPr="007647B4" w:rsidRDefault="006423D6" w:rsidP="00226EFE">
      <w:pPr>
        <w:pStyle w:val="ListParagraph"/>
        <w:numPr>
          <w:ilvl w:val="0"/>
          <w:numId w:val="1"/>
        </w:num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P</w:t>
      </w:r>
      <w:r w:rsidR="00E655DB" w:rsidRPr="007647B4">
        <w:rPr>
          <w:rFonts w:asciiTheme="minorHAnsi" w:hAnsiTheme="minorHAnsi" w:cstheme="minorHAnsi"/>
          <w:color w:val="000000" w:themeColor="text1"/>
          <w:sz w:val="22"/>
          <w:szCs w:val="22"/>
        </w:rPr>
        <w:t>rohibiting additives</w:t>
      </w:r>
      <w:r w:rsidRPr="007647B4">
        <w:rPr>
          <w:rFonts w:asciiTheme="minorHAnsi" w:hAnsiTheme="minorHAnsi" w:cstheme="minorHAnsi"/>
          <w:color w:val="000000" w:themeColor="text1"/>
          <w:sz w:val="22"/>
          <w:szCs w:val="22"/>
        </w:rPr>
        <w:t xml:space="preserve"> (such as nicotine or caffeine)</w:t>
      </w:r>
      <w:r w:rsidR="00E655DB" w:rsidRPr="007647B4">
        <w:rPr>
          <w:rFonts w:asciiTheme="minorHAnsi" w:hAnsiTheme="minorHAnsi" w:cstheme="minorHAnsi"/>
          <w:color w:val="000000" w:themeColor="text1"/>
          <w:sz w:val="22"/>
          <w:szCs w:val="22"/>
        </w:rPr>
        <w:t xml:space="preserve"> that increase potency</w:t>
      </w:r>
      <w:r w:rsidR="00AF6AB0" w:rsidRPr="007647B4">
        <w:rPr>
          <w:rFonts w:asciiTheme="minorHAnsi" w:hAnsiTheme="minorHAnsi" w:cstheme="minorHAnsi"/>
          <w:color w:val="000000" w:themeColor="text1"/>
          <w:sz w:val="22"/>
          <w:szCs w:val="22"/>
        </w:rPr>
        <w:t>, mask intoxication,</w:t>
      </w:r>
      <w:r w:rsidR="00E655DB" w:rsidRPr="007647B4">
        <w:rPr>
          <w:rFonts w:asciiTheme="minorHAnsi" w:hAnsiTheme="minorHAnsi" w:cstheme="minorHAnsi"/>
          <w:color w:val="000000" w:themeColor="text1"/>
          <w:sz w:val="22"/>
          <w:szCs w:val="22"/>
        </w:rPr>
        <w:t xml:space="preserve"> or </w:t>
      </w:r>
      <w:r w:rsidR="00AF6AB0" w:rsidRPr="007647B4">
        <w:rPr>
          <w:rFonts w:asciiTheme="minorHAnsi" w:hAnsiTheme="minorHAnsi" w:cstheme="minorHAnsi"/>
          <w:color w:val="000000" w:themeColor="text1"/>
          <w:sz w:val="22"/>
          <w:szCs w:val="22"/>
        </w:rPr>
        <w:t xml:space="preserve">augment </w:t>
      </w:r>
      <w:r w:rsidR="00E655DB" w:rsidRPr="007647B4">
        <w:rPr>
          <w:rFonts w:asciiTheme="minorHAnsi" w:hAnsiTheme="minorHAnsi" w:cstheme="minorHAnsi"/>
          <w:color w:val="000000" w:themeColor="text1"/>
          <w:sz w:val="22"/>
          <w:szCs w:val="22"/>
        </w:rPr>
        <w:t xml:space="preserve">addictive potential (§ 40300) to moderate abuse risk </w:t>
      </w:r>
    </w:p>
    <w:p w14:paraId="2954F687" w14:textId="7A375C13" w:rsidR="00F51626" w:rsidRPr="007647B4" w:rsidRDefault="00F51626" w:rsidP="00226EFE">
      <w:pPr>
        <w:pStyle w:val="ListParagraph"/>
        <w:numPr>
          <w:ilvl w:val="0"/>
          <w:numId w:val="1"/>
        </w:num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Clarifying that prohibitions on harmful additives apply to </w:t>
      </w:r>
      <w:r w:rsidRPr="007647B4">
        <w:rPr>
          <w:rFonts w:asciiTheme="minorHAnsi" w:hAnsiTheme="minorHAnsi" w:cstheme="minorHAnsi"/>
          <w:i/>
          <w:color w:val="000000" w:themeColor="text1"/>
          <w:sz w:val="22"/>
          <w:szCs w:val="22"/>
        </w:rPr>
        <w:t>all</w:t>
      </w:r>
      <w:r w:rsidRPr="007647B4">
        <w:rPr>
          <w:rFonts w:asciiTheme="minorHAnsi" w:hAnsiTheme="minorHAnsi" w:cstheme="minorHAnsi"/>
          <w:color w:val="000000" w:themeColor="text1"/>
          <w:sz w:val="22"/>
          <w:szCs w:val="22"/>
        </w:rPr>
        <w:t xml:space="preserve"> cannabis products rather than only edible products to restrict unsafe formulations (§</w:t>
      </w:r>
      <w:r w:rsidR="0043680E"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40300)</w:t>
      </w:r>
    </w:p>
    <w:p w14:paraId="3C38E142" w14:textId="32A681BD" w:rsidR="00E655DB" w:rsidRPr="007647B4" w:rsidRDefault="00E655DB" w:rsidP="00226EFE">
      <w:pPr>
        <w:pStyle w:val="ListParagraph"/>
        <w:numPr>
          <w:ilvl w:val="0"/>
          <w:numId w:val="1"/>
        </w:num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Limiting THC content in manufactured products (§</w:t>
      </w:r>
      <w:r w:rsidR="0043680E" w:rsidRPr="007647B4">
        <w:rPr>
          <w:rFonts w:asciiTheme="minorHAnsi" w:hAnsiTheme="minorHAnsi" w:cstheme="minorHAnsi"/>
          <w:color w:val="000000" w:themeColor="text1"/>
          <w:sz w:val="22"/>
          <w:szCs w:val="22"/>
        </w:rPr>
        <w:t xml:space="preserve"> </w:t>
      </w:r>
      <w:r w:rsidR="006423D6" w:rsidRPr="007647B4">
        <w:rPr>
          <w:rFonts w:asciiTheme="minorHAnsi" w:hAnsiTheme="minorHAnsi" w:cstheme="minorHAnsi"/>
          <w:color w:val="000000" w:themeColor="text1"/>
          <w:sz w:val="22"/>
          <w:szCs w:val="22"/>
        </w:rPr>
        <w:t>40315</w:t>
      </w:r>
      <w:r w:rsidRPr="007647B4">
        <w:rPr>
          <w:rFonts w:asciiTheme="minorHAnsi" w:hAnsiTheme="minorHAnsi" w:cstheme="minorHAnsi"/>
          <w:color w:val="000000" w:themeColor="text1"/>
          <w:sz w:val="22"/>
          <w:szCs w:val="22"/>
        </w:rPr>
        <w:t xml:space="preserve">) to reduce risks associated with accidental consumption and overconsumption </w:t>
      </w:r>
      <w:r w:rsidR="006423D6" w:rsidRPr="007647B4">
        <w:rPr>
          <w:rFonts w:asciiTheme="minorHAnsi" w:hAnsiTheme="minorHAnsi" w:cstheme="minorHAnsi"/>
          <w:color w:val="000000" w:themeColor="text1"/>
          <w:sz w:val="22"/>
          <w:szCs w:val="22"/>
        </w:rPr>
        <w:t>and requiring products in excess of that amount to be for medicinal use only</w:t>
      </w:r>
    </w:p>
    <w:p w14:paraId="60F7883F" w14:textId="77777777" w:rsidR="00E655DB" w:rsidRPr="007647B4" w:rsidRDefault="00E655DB" w:rsidP="00226EFE">
      <w:pPr>
        <w:pStyle w:val="ListParagraph"/>
        <w:numPr>
          <w:ilvl w:val="0"/>
          <w:numId w:val="1"/>
        </w:num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Additional prohibitions on certain potentially hazardous foods (§ 40300)</w:t>
      </w:r>
    </w:p>
    <w:p w14:paraId="7339AA20" w14:textId="38CBEFBA" w:rsidR="006423D6" w:rsidRPr="007647B4" w:rsidRDefault="006423D6" w:rsidP="00226EFE">
      <w:pPr>
        <w:pStyle w:val="ListParagraph"/>
        <w:numPr>
          <w:ilvl w:val="0"/>
          <w:numId w:val="1"/>
        </w:num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Requiring that the labeling requirements (including the universal symbol</w:t>
      </w:r>
      <w:r w:rsidR="00514595" w:rsidRPr="007647B4">
        <w:rPr>
          <w:rFonts w:asciiTheme="minorHAnsi" w:hAnsiTheme="minorHAnsi" w:cstheme="minorHAnsi"/>
          <w:color w:val="000000" w:themeColor="text1"/>
          <w:sz w:val="22"/>
          <w:szCs w:val="22"/>
        </w:rPr>
        <w:t>)</w:t>
      </w:r>
      <w:r w:rsidRPr="007647B4">
        <w:rPr>
          <w:rFonts w:asciiTheme="minorHAnsi" w:hAnsiTheme="minorHAnsi" w:cstheme="minorHAnsi"/>
          <w:color w:val="000000" w:themeColor="text1"/>
          <w:sz w:val="22"/>
          <w:szCs w:val="22"/>
        </w:rPr>
        <w:t xml:space="preserve"> be applied not only to the outside container such as a box, but also any inside container that is separable from the outside box (§</w:t>
      </w:r>
      <w:r w:rsidR="0043680E"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40403)</w:t>
      </w:r>
    </w:p>
    <w:p w14:paraId="1908115C" w14:textId="5D5A8303" w:rsidR="006423D6" w:rsidRPr="007647B4" w:rsidRDefault="006423D6" w:rsidP="00226EFE">
      <w:pPr>
        <w:pStyle w:val="ListParagraph"/>
        <w:numPr>
          <w:ilvl w:val="0"/>
          <w:numId w:val="1"/>
        </w:num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Clarifying the label requirements for THC and CBD content for all packages of cannabis product (§</w:t>
      </w:r>
      <w:r w:rsidR="0043680E"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40409)</w:t>
      </w:r>
    </w:p>
    <w:p w14:paraId="62BBB31A" w14:textId="303811B1" w:rsidR="00316817" w:rsidRPr="007647B4" w:rsidRDefault="00316817" w:rsidP="00226EFE">
      <w:pPr>
        <w:pStyle w:val="ListParagraph"/>
        <w:numPr>
          <w:ilvl w:val="0"/>
          <w:numId w:val="1"/>
        </w:num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Prohibiting labeling attractive to children and youth including cartoons, images, characters and phrases used to advertise to children, imitations of candy packaging or labeling, the term candy</w:t>
      </w:r>
      <w:r w:rsidR="006423D6" w:rsidRPr="007647B4">
        <w:rPr>
          <w:rFonts w:asciiTheme="minorHAnsi" w:hAnsiTheme="minorHAnsi" w:cstheme="minorHAnsi"/>
          <w:color w:val="000000" w:themeColor="text1"/>
          <w:sz w:val="22"/>
          <w:szCs w:val="22"/>
        </w:rPr>
        <w:t xml:space="preserve"> or variations thereof such as “kandy” or “kandeez”</w:t>
      </w:r>
      <w:r w:rsidRPr="007647B4">
        <w:rPr>
          <w:rFonts w:asciiTheme="minorHAnsi" w:hAnsiTheme="minorHAnsi" w:cstheme="minorHAnsi"/>
          <w:color w:val="000000" w:themeColor="text1"/>
          <w:sz w:val="22"/>
          <w:szCs w:val="22"/>
        </w:rPr>
        <w:t xml:space="preserve"> (§ 40410) </w:t>
      </w:r>
    </w:p>
    <w:p w14:paraId="3A502952" w14:textId="2464CFE2" w:rsidR="006423D6" w:rsidRPr="007647B4" w:rsidRDefault="006423D6" w:rsidP="00226EFE">
      <w:pPr>
        <w:pStyle w:val="ListParagraph"/>
        <w:numPr>
          <w:ilvl w:val="0"/>
          <w:numId w:val="1"/>
        </w:num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Prohibiting images of any edible products on the label of those products (§</w:t>
      </w:r>
      <w:r w:rsidR="0043680E"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40410)</w:t>
      </w:r>
    </w:p>
    <w:p w14:paraId="266E001A" w14:textId="02B871AA" w:rsidR="005323D1" w:rsidRPr="007647B4" w:rsidRDefault="005323D1" w:rsidP="00226EFE">
      <w:pPr>
        <w:pStyle w:val="ListParagraph"/>
        <w:numPr>
          <w:ilvl w:val="0"/>
          <w:numId w:val="1"/>
        </w:num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Prohibiting the use of “organic” or alternatives such as “organix” until such time as the federal Organic Food Production Act of 1990 authorizes organic designation/certification for cannabis (§</w:t>
      </w:r>
      <w:r w:rsidR="001B2BE9"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40410)</w:t>
      </w:r>
    </w:p>
    <w:p w14:paraId="15048E0D" w14:textId="4847470D" w:rsidR="00316817" w:rsidRPr="007647B4" w:rsidRDefault="00316817" w:rsidP="00226EFE">
      <w:pPr>
        <w:pStyle w:val="ListParagraph"/>
        <w:numPr>
          <w:ilvl w:val="0"/>
          <w:numId w:val="1"/>
        </w:num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Requiring the use of a track and trace system (§ 40510 et seq.) to reduce diversion to illicit markets </w:t>
      </w:r>
    </w:p>
    <w:p w14:paraId="6651AF54" w14:textId="78ED37FC" w:rsidR="00316817" w:rsidRPr="007647B4" w:rsidRDefault="00316817" w:rsidP="00226EFE">
      <w:pPr>
        <w:pStyle w:val="ListParagraph"/>
        <w:numPr>
          <w:ilvl w:val="0"/>
          <w:numId w:val="1"/>
        </w:num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Mandating labels and warnings with specific content (§§ 40408, 40410, 40412) that will counter the influence of abusive marketing practices</w:t>
      </w:r>
    </w:p>
    <w:p w14:paraId="603F5F9A" w14:textId="77777777" w:rsidR="00316817" w:rsidRPr="007647B4" w:rsidRDefault="00316817" w:rsidP="00226EFE">
      <w:pPr>
        <w:pStyle w:val="ListParagraph"/>
        <w:numPr>
          <w:ilvl w:val="0"/>
          <w:numId w:val="1"/>
        </w:num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Increasing license fees for the largest operators to discourage dominance by larger and more powerful industry elements (§ 40150(b)) </w:t>
      </w:r>
    </w:p>
    <w:p w14:paraId="23ED89D6" w14:textId="77777777" w:rsidR="00316817" w:rsidRPr="007647B4" w:rsidRDefault="00316817" w:rsidP="00226EFE">
      <w:pPr>
        <w:pStyle w:val="ListParagraph"/>
        <w:numPr>
          <w:ilvl w:val="0"/>
          <w:numId w:val="1"/>
        </w:num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Strengthening the prohibition on labels containing health-related statements that are not supported by evidence (§ 40410) </w:t>
      </w:r>
    </w:p>
    <w:p w14:paraId="09913627" w14:textId="3F89A55A" w:rsidR="00316817" w:rsidRPr="007647B4" w:rsidRDefault="00316817" w:rsidP="00226EFE">
      <w:pPr>
        <w:pStyle w:val="ListParagraph"/>
        <w:numPr>
          <w:ilvl w:val="0"/>
          <w:numId w:val="1"/>
        </w:num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Prohibiting persons tasked with cannabis enforcement from holding licenses (§ 40116)</w:t>
      </w:r>
    </w:p>
    <w:p w14:paraId="7F4A9AC4" w14:textId="77777777" w:rsidR="00316817" w:rsidRPr="007647B4" w:rsidRDefault="00316817" w:rsidP="00226EFE">
      <w:pPr>
        <w:jc w:val="both"/>
        <w:rPr>
          <w:rFonts w:asciiTheme="minorHAnsi" w:hAnsiTheme="minorHAnsi" w:cstheme="minorHAnsi"/>
          <w:color w:val="000000" w:themeColor="text1"/>
          <w:sz w:val="22"/>
          <w:szCs w:val="22"/>
        </w:rPr>
      </w:pPr>
    </w:p>
    <w:p w14:paraId="2CFC7EED" w14:textId="42BB0876" w:rsidR="00316817" w:rsidRPr="007647B4" w:rsidRDefault="00316817" w:rsidP="00226EFE">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We strongly support these provisions and recommend that the Department should maintain or strengthen these regulations even if industry and its allies object to them or seek to weaken them. These are essential for public health protection and should not be omitted under any circumstances. </w:t>
      </w:r>
    </w:p>
    <w:p w14:paraId="64CD3744" w14:textId="77777777" w:rsidR="00316817" w:rsidRPr="007647B4" w:rsidRDefault="00316817" w:rsidP="00226EFE">
      <w:pPr>
        <w:jc w:val="both"/>
        <w:rPr>
          <w:rFonts w:asciiTheme="minorHAnsi" w:hAnsiTheme="minorHAnsi" w:cstheme="minorHAnsi"/>
          <w:color w:val="000000" w:themeColor="text1"/>
          <w:sz w:val="22"/>
          <w:szCs w:val="22"/>
        </w:rPr>
      </w:pPr>
    </w:p>
    <w:p w14:paraId="10359A76" w14:textId="77777777" w:rsidR="00316817" w:rsidRPr="007647B4" w:rsidRDefault="00316817" w:rsidP="00226EFE">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lastRenderedPageBreak/>
        <w:t xml:space="preserve">Building on these positive elements of the proposed regulations, the following specific changes are needed to ensure that the proposed regulations are fully consistent with evidence-based best practices from tobacco and alcohol control in order to create a well-regulated legal market for cannabis in California that will minimize adverse effects on the health of Californians. </w:t>
      </w:r>
    </w:p>
    <w:p w14:paraId="2B467C55" w14:textId="77777777" w:rsidR="00316817" w:rsidRPr="007647B4" w:rsidRDefault="00316817" w:rsidP="00226EFE">
      <w:pPr>
        <w:jc w:val="both"/>
        <w:rPr>
          <w:rFonts w:asciiTheme="minorHAnsi" w:hAnsiTheme="minorHAnsi" w:cstheme="minorHAnsi"/>
          <w:color w:val="000000" w:themeColor="text1"/>
          <w:sz w:val="22"/>
          <w:szCs w:val="22"/>
        </w:rPr>
      </w:pPr>
    </w:p>
    <w:p w14:paraId="74E72444" w14:textId="408ABCE0" w:rsidR="00316817" w:rsidRPr="007647B4" w:rsidRDefault="00316817" w:rsidP="00226EFE">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Once a product is legally manufactured in the state and allowed on the market it will become much more difficult to withdraw permission for its manufacture and marketing</w:t>
      </w:r>
      <w:r w:rsidR="00514595" w:rsidRPr="007647B4">
        <w:rPr>
          <w:rFonts w:asciiTheme="minorHAnsi" w:hAnsiTheme="minorHAnsi" w:cstheme="minorHAnsi"/>
          <w:color w:val="000000" w:themeColor="text1"/>
          <w:sz w:val="22"/>
          <w:szCs w:val="22"/>
        </w:rPr>
        <w:t xml:space="preserve"> – therefore this is the time to exercise caution</w:t>
      </w:r>
      <w:r w:rsidRPr="007647B4">
        <w:rPr>
          <w:rFonts w:asciiTheme="minorHAnsi" w:hAnsiTheme="minorHAnsi" w:cstheme="minorHAnsi"/>
          <w:color w:val="000000" w:themeColor="text1"/>
          <w:sz w:val="22"/>
          <w:szCs w:val="22"/>
        </w:rPr>
        <w:t>.</w:t>
      </w:r>
    </w:p>
    <w:p w14:paraId="2BEAD833" w14:textId="4A1C863F" w:rsidR="00316817" w:rsidRPr="007647B4" w:rsidRDefault="00316817" w:rsidP="00226EFE">
      <w:pPr>
        <w:jc w:val="both"/>
        <w:rPr>
          <w:rFonts w:asciiTheme="minorHAnsi" w:hAnsiTheme="minorHAnsi" w:cstheme="minorHAnsi"/>
          <w:color w:val="000000" w:themeColor="text1"/>
          <w:sz w:val="22"/>
          <w:szCs w:val="22"/>
        </w:rPr>
      </w:pPr>
    </w:p>
    <w:p w14:paraId="0F7149A9" w14:textId="70123F4C" w:rsidR="007029FE" w:rsidRPr="007647B4" w:rsidRDefault="00316817" w:rsidP="00226EFE">
      <w:pPr>
        <w:jc w:val="both"/>
        <w:rPr>
          <w:rFonts w:asciiTheme="minorHAnsi" w:hAnsiTheme="minorHAnsi" w:cstheme="minorHAnsi"/>
          <w:sz w:val="22"/>
          <w:szCs w:val="22"/>
        </w:rPr>
      </w:pPr>
      <w:r w:rsidRPr="007647B4">
        <w:rPr>
          <w:rFonts w:asciiTheme="minorHAnsi" w:hAnsiTheme="minorHAnsi" w:cstheme="minorHAnsi"/>
          <w:color w:val="000000" w:themeColor="text1"/>
          <w:sz w:val="22"/>
          <w:szCs w:val="22"/>
        </w:rPr>
        <w:t>SPECIFIC RECOMMENDATIONS</w:t>
      </w:r>
    </w:p>
    <w:p w14:paraId="34E1E756" w14:textId="39AEFB01" w:rsidR="00C67228" w:rsidRPr="007647B4" w:rsidRDefault="00C67228" w:rsidP="00226EFE">
      <w:pPr>
        <w:jc w:val="both"/>
        <w:rPr>
          <w:rFonts w:asciiTheme="minorHAnsi" w:hAnsiTheme="minorHAnsi" w:cstheme="minorHAnsi"/>
          <w:color w:val="000000" w:themeColor="text1"/>
          <w:sz w:val="22"/>
          <w:szCs w:val="22"/>
        </w:rPr>
      </w:pPr>
    </w:p>
    <w:p w14:paraId="47426F4B" w14:textId="1A642D31" w:rsidR="004F0418" w:rsidRPr="007647B4" w:rsidRDefault="004F0418" w:rsidP="00226EFE">
      <w:pPr>
        <w:jc w:val="both"/>
        <w:rPr>
          <w:rFonts w:asciiTheme="minorHAnsi" w:hAnsiTheme="minorHAnsi" w:cstheme="minorHAnsi"/>
          <w:color w:val="000000" w:themeColor="text1"/>
          <w:sz w:val="22"/>
          <w:szCs w:val="22"/>
        </w:rPr>
      </w:pPr>
      <w:r w:rsidRPr="007647B4">
        <w:rPr>
          <w:rFonts w:asciiTheme="minorHAnsi" w:hAnsiTheme="minorHAnsi" w:cstheme="minorHAnsi"/>
          <w:b/>
          <w:color w:val="000000" w:themeColor="text1"/>
          <w:sz w:val="22"/>
          <w:szCs w:val="22"/>
        </w:rPr>
        <w:t>1.</w:t>
      </w:r>
      <w:r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b/>
          <w:color w:val="000000" w:themeColor="text1"/>
          <w:sz w:val="22"/>
          <w:szCs w:val="22"/>
        </w:rPr>
        <w:t xml:space="preserve">Not allow manufacture of certain products with strong evidence for increased public health risk or attraction to youth </w:t>
      </w:r>
    </w:p>
    <w:p w14:paraId="1286BE17" w14:textId="77777777" w:rsidR="00316817" w:rsidRPr="007647B4" w:rsidRDefault="00316817" w:rsidP="00226EFE">
      <w:pPr>
        <w:jc w:val="both"/>
        <w:rPr>
          <w:rFonts w:asciiTheme="minorHAnsi" w:hAnsiTheme="minorHAnsi" w:cstheme="minorHAnsi"/>
          <w:color w:val="000000" w:themeColor="text1"/>
          <w:sz w:val="22"/>
          <w:szCs w:val="22"/>
        </w:rPr>
      </w:pPr>
    </w:p>
    <w:p w14:paraId="2003603F" w14:textId="1E994058" w:rsidR="00316817" w:rsidRPr="007647B4" w:rsidRDefault="00316817" w:rsidP="00226EFE">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There is a significant group of products that are not traditional </w:t>
      </w:r>
      <w:r w:rsidR="0043680E" w:rsidRPr="007647B4">
        <w:rPr>
          <w:rFonts w:asciiTheme="minorHAnsi" w:hAnsiTheme="minorHAnsi" w:cstheme="minorHAnsi"/>
          <w:color w:val="000000" w:themeColor="text1"/>
          <w:sz w:val="22"/>
          <w:szCs w:val="22"/>
        </w:rPr>
        <w:t>cannabis</w:t>
      </w:r>
      <w:r w:rsidRPr="007647B4">
        <w:rPr>
          <w:rFonts w:asciiTheme="minorHAnsi" w:hAnsiTheme="minorHAnsi" w:cstheme="minorHAnsi"/>
          <w:color w:val="000000" w:themeColor="text1"/>
          <w:sz w:val="22"/>
          <w:szCs w:val="22"/>
        </w:rPr>
        <w:t xml:space="preserve"> </w:t>
      </w:r>
      <w:r w:rsidR="001E1684" w:rsidRPr="007647B4">
        <w:rPr>
          <w:rFonts w:asciiTheme="minorHAnsi" w:hAnsiTheme="minorHAnsi" w:cstheme="minorHAnsi"/>
          <w:color w:val="000000" w:themeColor="text1"/>
          <w:sz w:val="22"/>
          <w:szCs w:val="22"/>
        </w:rPr>
        <w:t>products,</w:t>
      </w:r>
      <w:r w:rsidRPr="007647B4">
        <w:rPr>
          <w:rFonts w:asciiTheme="minorHAnsi" w:hAnsiTheme="minorHAnsi" w:cstheme="minorHAnsi"/>
          <w:color w:val="000000" w:themeColor="text1"/>
          <w:sz w:val="22"/>
          <w:szCs w:val="22"/>
        </w:rPr>
        <w:t xml:space="preserve"> and which represent the recent effort by the industry to diversify its supply and expand its market in ways which will inevitably attract youth as well as adults</w:t>
      </w:r>
      <w:r w:rsidR="004F0418" w:rsidRPr="007647B4">
        <w:rPr>
          <w:rFonts w:asciiTheme="minorHAnsi" w:hAnsiTheme="minorHAnsi" w:cstheme="minorHAnsi"/>
          <w:color w:val="000000" w:themeColor="text1"/>
          <w:sz w:val="22"/>
          <w:szCs w:val="22"/>
        </w:rPr>
        <w:t xml:space="preserve">, increase risk of dependency, </w:t>
      </w:r>
      <w:r w:rsidR="00E4487A" w:rsidRPr="007647B4">
        <w:rPr>
          <w:rFonts w:asciiTheme="minorHAnsi" w:hAnsiTheme="minorHAnsi" w:cstheme="minorHAnsi"/>
          <w:color w:val="000000" w:themeColor="text1"/>
          <w:sz w:val="22"/>
          <w:szCs w:val="22"/>
        </w:rPr>
        <w:t>and/</w:t>
      </w:r>
      <w:r w:rsidR="004F0418" w:rsidRPr="007647B4">
        <w:rPr>
          <w:rFonts w:asciiTheme="minorHAnsi" w:hAnsiTheme="minorHAnsi" w:cstheme="minorHAnsi"/>
          <w:color w:val="000000" w:themeColor="text1"/>
          <w:sz w:val="22"/>
          <w:szCs w:val="22"/>
        </w:rPr>
        <w:t>or increase risk of adverse effects</w:t>
      </w:r>
      <w:r w:rsidRPr="007647B4">
        <w:rPr>
          <w:rFonts w:asciiTheme="minorHAnsi" w:hAnsiTheme="minorHAnsi" w:cstheme="minorHAnsi"/>
          <w:color w:val="000000" w:themeColor="text1"/>
          <w:sz w:val="22"/>
          <w:szCs w:val="22"/>
        </w:rPr>
        <w:t xml:space="preserve">. Legalization of cannabis does not require legalization of every conceivable </w:t>
      </w:r>
      <w:r w:rsidR="004F0418" w:rsidRPr="007647B4">
        <w:rPr>
          <w:rFonts w:asciiTheme="minorHAnsi" w:hAnsiTheme="minorHAnsi" w:cstheme="minorHAnsi"/>
          <w:color w:val="000000" w:themeColor="text1"/>
          <w:sz w:val="22"/>
          <w:szCs w:val="22"/>
        </w:rPr>
        <w:t xml:space="preserve">formulation </w:t>
      </w:r>
      <w:r w:rsidRPr="007647B4">
        <w:rPr>
          <w:rFonts w:asciiTheme="minorHAnsi" w:hAnsiTheme="minorHAnsi" w:cstheme="minorHAnsi"/>
          <w:color w:val="000000" w:themeColor="text1"/>
          <w:sz w:val="22"/>
          <w:szCs w:val="22"/>
        </w:rPr>
        <w:t xml:space="preserve">of cannabis. </w:t>
      </w:r>
      <w:r w:rsidRPr="007647B4">
        <w:rPr>
          <w:rFonts w:asciiTheme="minorHAnsi" w:hAnsiTheme="minorHAnsi" w:cstheme="minorHAnsi"/>
          <w:b/>
          <w:color w:val="000000" w:themeColor="text1"/>
          <w:sz w:val="22"/>
          <w:szCs w:val="22"/>
        </w:rPr>
        <w:t xml:space="preserve">We recommend that manufacturing of specific product groups be disallowed under </w:t>
      </w:r>
      <w:r w:rsidR="00CB1EF0" w:rsidRPr="007647B4">
        <w:rPr>
          <w:rFonts w:asciiTheme="minorHAnsi" w:hAnsiTheme="minorHAnsi" w:cstheme="minorHAnsi"/>
          <w:b/>
          <w:color w:val="000000" w:themeColor="text1"/>
          <w:sz w:val="22"/>
          <w:szCs w:val="22"/>
        </w:rPr>
        <w:t>the proposed</w:t>
      </w:r>
      <w:r w:rsidRPr="007647B4">
        <w:rPr>
          <w:rFonts w:asciiTheme="minorHAnsi" w:hAnsiTheme="minorHAnsi" w:cstheme="minorHAnsi"/>
          <w:b/>
          <w:color w:val="000000" w:themeColor="text1"/>
          <w:sz w:val="22"/>
          <w:szCs w:val="22"/>
        </w:rPr>
        <w:t xml:space="preserve"> regulations</w:t>
      </w:r>
      <w:r w:rsidR="004F0418" w:rsidRPr="007647B4">
        <w:rPr>
          <w:rFonts w:asciiTheme="minorHAnsi" w:hAnsiTheme="minorHAnsi" w:cstheme="minorHAnsi"/>
          <w:b/>
          <w:color w:val="000000" w:themeColor="text1"/>
          <w:sz w:val="22"/>
          <w:szCs w:val="22"/>
        </w:rPr>
        <w:t>. At a minimum they should not be allowed until such time</w:t>
      </w:r>
      <w:r w:rsidR="00DA6B6F" w:rsidRPr="007647B4">
        <w:rPr>
          <w:rFonts w:asciiTheme="minorHAnsi" w:hAnsiTheme="minorHAnsi" w:cstheme="minorHAnsi"/>
          <w:b/>
          <w:color w:val="000000" w:themeColor="text1"/>
          <w:sz w:val="22"/>
          <w:szCs w:val="22"/>
        </w:rPr>
        <w:t xml:space="preserve"> </w:t>
      </w:r>
      <w:r w:rsidR="004F0418" w:rsidRPr="007647B4">
        <w:rPr>
          <w:rFonts w:asciiTheme="minorHAnsi" w:hAnsiTheme="minorHAnsi" w:cstheme="minorHAnsi"/>
          <w:b/>
          <w:color w:val="000000" w:themeColor="text1"/>
          <w:sz w:val="22"/>
          <w:szCs w:val="22"/>
        </w:rPr>
        <w:t>as a full and</w:t>
      </w:r>
      <w:r w:rsidR="00585EB8" w:rsidRPr="007647B4">
        <w:rPr>
          <w:rFonts w:asciiTheme="minorHAnsi" w:hAnsiTheme="minorHAnsi" w:cstheme="minorHAnsi"/>
          <w:b/>
          <w:color w:val="000000" w:themeColor="text1"/>
          <w:sz w:val="22"/>
          <w:szCs w:val="22"/>
        </w:rPr>
        <w:t xml:space="preserve"> formal</w:t>
      </w:r>
      <w:r w:rsidR="004F0418" w:rsidRPr="007647B4">
        <w:rPr>
          <w:rFonts w:asciiTheme="minorHAnsi" w:hAnsiTheme="minorHAnsi" w:cstheme="minorHAnsi"/>
          <w:b/>
          <w:color w:val="000000" w:themeColor="text1"/>
          <w:sz w:val="22"/>
          <w:szCs w:val="22"/>
        </w:rPr>
        <w:t xml:space="preserve"> product specific</w:t>
      </w:r>
      <w:r w:rsidR="00DA6B6F" w:rsidRPr="007647B4">
        <w:rPr>
          <w:rFonts w:asciiTheme="minorHAnsi" w:hAnsiTheme="minorHAnsi" w:cstheme="minorHAnsi"/>
          <w:b/>
          <w:color w:val="000000" w:themeColor="text1"/>
          <w:sz w:val="22"/>
          <w:szCs w:val="22"/>
        </w:rPr>
        <w:t xml:space="preserve"> </w:t>
      </w:r>
      <w:r w:rsidRPr="007647B4">
        <w:rPr>
          <w:rFonts w:asciiTheme="minorHAnsi" w:hAnsiTheme="minorHAnsi" w:cstheme="minorHAnsi"/>
          <w:b/>
          <w:color w:val="000000" w:themeColor="text1"/>
          <w:sz w:val="22"/>
          <w:szCs w:val="22"/>
        </w:rPr>
        <w:t>regulatory risk assessment and public process occurs.</w:t>
      </w:r>
      <w:r w:rsidR="00DA6B6F" w:rsidRPr="007647B4">
        <w:rPr>
          <w:rFonts w:asciiTheme="minorHAnsi" w:hAnsiTheme="minorHAnsi" w:cstheme="minorHAnsi"/>
          <w:b/>
          <w:color w:val="000000" w:themeColor="text1"/>
          <w:sz w:val="22"/>
          <w:szCs w:val="22"/>
        </w:rPr>
        <w:t xml:space="preserve"> </w:t>
      </w:r>
      <w:r w:rsidR="004F0418" w:rsidRPr="007647B4">
        <w:rPr>
          <w:rFonts w:asciiTheme="minorHAnsi" w:hAnsiTheme="minorHAnsi" w:cstheme="minorHAnsi"/>
          <w:b/>
          <w:color w:val="000000" w:themeColor="text1"/>
          <w:sz w:val="22"/>
          <w:szCs w:val="22"/>
        </w:rPr>
        <w:t xml:space="preserve">These products include, but are not limited to: high potency flower, high potency concentrates, infused pre-rolls, flavored non-edible cannabis products, and cannabis beverages. </w:t>
      </w:r>
    </w:p>
    <w:p w14:paraId="0125DA5C" w14:textId="77777777" w:rsidR="00316817" w:rsidRPr="007647B4" w:rsidRDefault="00316817" w:rsidP="00226EFE">
      <w:pPr>
        <w:jc w:val="both"/>
        <w:rPr>
          <w:rFonts w:asciiTheme="minorHAnsi" w:hAnsiTheme="minorHAnsi" w:cstheme="minorHAnsi"/>
          <w:color w:val="000000" w:themeColor="text1"/>
          <w:sz w:val="22"/>
          <w:szCs w:val="22"/>
        </w:rPr>
      </w:pPr>
    </w:p>
    <w:p w14:paraId="60482615" w14:textId="58B3D012" w:rsidR="00316817" w:rsidRPr="007647B4" w:rsidRDefault="00316817" w:rsidP="00226EFE">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Specifically: </w:t>
      </w:r>
    </w:p>
    <w:p w14:paraId="05422F90" w14:textId="77777777" w:rsidR="00316817" w:rsidRPr="007647B4" w:rsidRDefault="00316817" w:rsidP="00226EFE">
      <w:pPr>
        <w:jc w:val="both"/>
        <w:rPr>
          <w:rFonts w:asciiTheme="minorHAnsi" w:hAnsiTheme="minorHAnsi" w:cstheme="minorHAnsi"/>
          <w:color w:val="000000" w:themeColor="text1"/>
          <w:sz w:val="22"/>
          <w:szCs w:val="22"/>
        </w:rPr>
      </w:pPr>
    </w:p>
    <w:p w14:paraId="7D92FB1F" w14:textId="37CD26F0" w:rsidR="004F0418" w:rsidRPr="007647B4" w:rsidRDefault="003A6D45" w:rsidP="00226EFE">
      <w:pPr>
        <w:jc w:val="both"/>
        <w:rPr>
          <w:rFonts w:asciiTheme="minorHAnsi" w:hAnsiTheme="minorHAnsi" w:cstheme="minorHAnsi"/>
          <w:color w:val="000000" w:themeColor="text1"/>
          <w:sz w:val="22"/>
          <w:szCs w:val="22"/>
        </w:rPr>
      </w:pPr>
      <w:r w:rsidRPr="007647B4">
        <w:rPr>
          <w:rFonts w:asciiTheme="minorHAnsi" w:hAnsiTheme="minorHAnsi" w:cstheme="minorHAnsi"/>
          <w:b/>
          <w:color w:val="000000" w:themeColor="text1"/>
          <w:sz w:val="22"/>
          <w:szCs w:val="22"/>
        </w:rPr>
        <w:tab/>
      </w:r>
      <w:r w:rsidR="000B7EE5" w:rsidRPr="007647B4">
        <w:rPr>
          <w:rFonts w:asciiTheme="minorHAnsi" w:hAnsiTheme="minorHAnsi" w:cstheme="minorHAnsi"/>
          <w:b/>
          <w:color w:val="000000" w:themeColor="text1"/>
          <w:sz w:val="22"/>
          <w:szCs w:val="22"/>
        </w:rPr>
        <w:t>1.</w:t>
      </w:r>
      <w:r w:rsidR="001A7174" w:rsidRPr="007647B4">
        <w:rPr>
          <w:rFonts w:asciiTheme="minorHAnsi" w:hAnsiTheme="minorHAnsi" w:cstheme="minorHAnsi"/>
          <w:b/>
          <w:color w:val="000000" w:themeColor="text1"/>
          <w:sz w:val="22"/>
          <w:szCs w:val="22"/>
        </w:rPr>
        <w:t>a</w:t>
      </w:r>
      <w:r w:rsidR="002F3B3D" w:rsidRPr="007647B4">
        <w:rPr>
          <w:rFonts w:asciiTheme="minorHAnsi" w:hAnsiTheme="minorHAnsi" w:cstheme="minorHAnsi"/>
          <w:b/>
          <w:color w:val="000000" w:themeColor="text1"/>
          <w:sz w:val="22"/>
          <w:szCs w:val="22"/>
        </w:rPr>
        <w:t>.</w:t>
      </w:r>
      <w:r w:rsidR="00316817" w:rsidRPr="007647B4">
        <w:rPr>
          <w:rFonts w:asciiTheme="minorHAnsi" w:hAnsiTheme="minorHAnsi" w:cstheme="minorHAnsi"/>
          <w:b/>
          <w:color w:val="000000" w:themeColor="text1"/>
          <w:sz w:val="22"/>
          <w:szCs w:val="22"/>
        </w:rPr>
        <w:t xml:space="preserve">) High potency </w:t>
      </w:r>
      <w:r w:rsidR="004F0418" w:rsidRPr="007647B4">
        <w:rPr>
          <w:rFonts w:asciiTheme="minorHAnsi" w:hAnsiTheme="minorHAnsi" w:cstheme="minorHAnsi"/>
          <w:b/>
          <w:color w:val="000000" w:themeColor="text1"/>
          <w:sz w:val="22"/>
          <w:szCs w:val="22"/>
        </w:rPr>
        <w:t xml:space="preserve">cannabis and cannabis </w:t>
      </w:r>
      <w:r w:rsidR="00316817" w:rsidRPr="007647B4">
        <w:rPr>
          <w:rFonts w:asciiTheme="minorHAnsi" w:hAnsiTheme="minorHAnsi" w:cstheme="minorHAnsi"/>
          <w:b/>
          <w:color w:val="000000" w:themeColor="text1"/>
          <w:sz w:val="22"/>
          <w:szCs w:val="22"/>
        </w:rPr>
        <w:t>products</w:t>
      </w:r>
    </w:p>
    <w:p w14:paraId="6D7874FF" w14:textId="77777777" w:rsidR="004F0418" w:rsidRPr="007647B4" w:rsidRDefault="004F0418" w:rsidP="00226EFE">
      <w:pPr>
        <w:jc w:val="both"/>
        <w:rPr>
          <w:rFonts w:asciiTheme="minorHAnsi" w:hAnsiTheme="minorHAnsi" w:cstheme="minorHAnsi"/>
          <w:color w:val="000000" w:themeColor="text1"/>
          <w:sz w:val="22"/>
          <w:szCs w:val="22"/>
        </w:rPr>
      </w:pPr>
    </w:p>
    <w:p w14:paraId="3B2807D7" w14:textId="257CB737" w:rsidR="004F0418" w:rsidRPr="007647B4" w:rsidRDefault="004F0418" w:rsidP="007647B4">
      <w:pPr>
        <w:jc w:val="both"/>
        <w:rPr>
          <w:rFonts w:asciiTheme="minorHAnsi" w:hAnsiTheme="minorHAnsi" w:cstheme="minorHAnsi"/>
          <w:sz w:val="22"/>
          <w:szCs w:val="22"/>
        </w:rPr>
      </w:pPr>
      <w:r w:rsidRPr="007647B4">
        <w:rPr>
          <w:rFonts w:asciiTheme="minorHAnsi" w:hAnsiTheme="minorHAnsi" w:cstheme="minorHAnsi"/>
          <w:color w:val="000000" w:themeColor="text1"/>
          <w:sz w:val="22"/>
          <w:szCs w:val="22"/>
        </w:rPr>
        <w:t xml:space="preserve">In </w:t>
      </w:r>
      <w:proofErr w:type="gramStart"/>
      <w:r w:rsidRPr="007647B4">
        <w:rPr>
          <w:rFonts w:asciiTheme="minorHAnsi" w:hAnsiTheme="minorHAnsi" w:cstheme="minorHAnsi"/>
          <w:color w:val="000000" w:themeColor="text1"/>
          <w:sz w:val="22"/>
          <w:szCs w:val="22"/>
        </w:rPr>
        <w:t xml:space="preserve">2007, </w:t>
      </w:r>
      <w:r w:rsidR="00514595"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Judge</w:t>
      </w:r>
      <w:proofErr w:type="gramEnd"/>
      <w:r w:rsidRPr="007647B4">
        <w:rPr>
          <w:rFonts w:asciiTheme="minorHAnsi" w:hAnsiTheme="minorHAnsi" w:cstheme="minorHAnsi"/>
          <w:color w:val="000000" w:themeColor="text1"/>
          <w:sz w:val="22"/>
          <w:szCs w:val="22"/>
        </w:rPr>
        <w:t xml:space="preserve"> Gladys Kessler, in a landmark decision in </w:t>
      </w:r>
      <w:r w:rsidRPr="007647B4">
        <w:rPr>
          <w:rFonts w:asciiTheme="minorHAnsi" w:hAnsiTheme="minorHAnsi" w:cstheme="minorHAnsi"/>
          <w:i/>
          <w:color w:val="000000" w:themeColor="text1"/>
          <w:sz w:val="22"/>
          <w:szCs w:val="22"/>
        </w:rPr>
        <w:t>US v Philip Morris</w:t>
      </w:r>
      <w:r w:rsidRPr="007647B4">
        <w:rPr>
          <w:rFonts w:asciiTheme="minorHAnsi" w:hAnsiTheme="minorHAnsi" w:cstheme="minorHAnsi"/>
          <w:color w:val="000000" w:themeColor="text1"/>
          <w:sz w:val="22"/>
          <w:szCs w:val="22"/>
        </w:rPr>
        <w:t xml:space="preserve">, </w:t>
      </w:r>
      <w:r w:rsidR="00E4487A" w:rsidRPr="007647B4">
        <w:rPr>
          <w:rFonts w:asciiTheme="minorHAnsi" w:hAnsiTheme="minorHAnsi" w:cstheme="minorHAnsi"/>
          <w:color w:val="000000" w:themeColor="text1"/>
          <w:sz w:val="22"/>
          <w:szCs w:val="22"/>
          <w:shd w:val="clear" w:color="auto" w:fill="FFFFFF"/>
        </w:rPr>
        <w:t>449 F.Supp.2d 1 (D.D.C. 2006)</w:t>
      </w:r>
      <w:r w:rsidR="00804E4F" w:rsidRPr="007647B4">
        <w:rPr>
          <w:rStyle w:val="FootnoteReference"/>
          <w:rFonts w:asciiTheme="minorHAnsi" w:hAnsiTheme="minorHAnsi" w:cstheme="minorHAnsi"/>
          <w:color w:val="000000" w:themeColor="text1"/>
          <w:sz w:val="22"/>
          <w:szCs w:val="22"/>
          <w:shd w:val="clear" w:color="auto" w:fill="FFFFFF"/>
        </w:rPr>
        <w:footnoteReference w:id="34"/>
      </w:r>
      <w:r w:rsidR="00E4487A" w:rsidRPr="007647B4">
        <w:rPr>
          <w:rFonts w:asciiTheme="minorHAnsi" w:hAnsiTheme="minorHAnsi" w:cstheme="minorHAnsi"/>
          <w:color w:val="000000" w:themeColor="text1"/>
          <w:sz w:val="22"/>
          <w:szCs w:val="22"/>
          <w:shd w:val="clear" w:color="auto" w:fill="FFFFFF"/>
        </w:rPr>
        <w:t>,</w:t>
      </w:r>
      <w:r w:rsidR="00E4487A" w:rsidRPr="007647B4">
        <w:rPr>
          <w:rFonts w:asciiTheme="minorHAnsi" w:hAnsiTheme="minorHAnsi" w:cstheme="minorHAnsi"/>
          <w:color w:val="000000"/>
          <w:sz w:val="22"/>
          <w:szCs w:val="22"/>
          <w:shd w:val="clear" w:color="auto" w:fill="FFFFFF"/>
        </w:rPr>
        <w:t xml:space="preserve"> </w:t>
      </w:r>
      <w:r w:rsidRPr="007647B4">
        <w:rPr>
          <w:rFonts w:asciiTheme="minorHAnsi" w:hAnsiTheme="minorHAnsi" w:cstheme="minorHAnsi"/>
          <w:color w:val="000000"/>
          <w:sz w:val="22"/>
          <w:szCs w:val="22"/>
          <w:shd w:val="clear" w:color="auto" w:fill="FFFFFF"/>
        </w:rPr>
        <w:t>held the tobacco companies liable for violating the Racketeer Influenced and Corrupt Organizations Act (RICO) by fraudulently covering up the health risks associated with smoking and for marketing their products to children.</w:t>
      </w:r>
      <w:r w:rsidR="00DA6B6F" w:rsidRPr="007647B4">
        <w:rPr>
          <w:rFonts w:asciiTheme="minorHAnsi" w:hAnsiTheme="minorHAnsi" w:cstheme="minorHAnsi"/>
          <w:color w:val="000000"/>
          <w:sz w:val="22"/>
          <w:szCs w:val="22"/>
          <w:shd w:val="clear" w:color="auto" w:fill="FFFFFF"/>
        </w:rPr>
        <w:t xml:space="preserve"> </w:t>
      </w:r>
      <w:r w:rsidRPr="007647B4">
        <w:rPr>
          <w:rFonts w:asciiTheme="minorHAnsi" w:hAnsiTheme="minorHAnsi" w:cstheme="minorHAnsi"/>
          <w:color w:val="000000"/>
          <w:sz w:val="22"/>
          <w:szCs w:val="22"/>
          <w:shd w:val="clear" w:color="auto" w:fill="FFFFFF"/>
        </w:rPr>
        <w:t xml:space="preserve">She </w:t>
      </w:r>
      <w:r w:rsidRPr="007647B4">
        <w:rPr>
          <w:rFonts w:asciiTheme="minorHAnsi" w:hAnsiTheme="minorHAnsi" w:cstheme="minorHAnsi"/>
          <w:color w:val="000000" w:themeColor="text1"/>
          <w:sz w:val="22"/>
          <w:szCs w:val="22"/>
        </w:rPr>
        <w:t xml:space="preserve">recognized that the tobacco industry had tailored nicotine content and delivery in tobacco products for decades to better addict those initiating smoking. </w:t>
      </w:r>
    </w:p>
    <w:p w14:paraId="09C1A0FF" w14:textId="77777777" w:rsidR="004F0418" w:rsidRPr="007647B4" w:rsidRDefault="004F0418" w:rsidP="00226EFE">
      <w:pPr>
        <w:jc w:val="both"/>
        <w:rPr>
          <w:rFonts w:asciiTheme="minorHAnsi" w:hAnsiTheme="minorHAnsi" w:cstheme="minorHAnsi"/>
          <w:color w:val="000000" w:themeColor="text1"/>
          <w:sz w:val="22"/>
          <w:szCs w:val="22"/>
        </w:rPr>
      </w:pPr>
    </w:p>
    <w:p w14:paraId="644A119A" w14:textId="77777777" w:rsidR="004F0418" w:rsidRPr="007647B4" w:rsidRDefault="004F0418" w:rsidP="00226EFE">
      <w:pPr>
        <w:ind w:left="720"/>
        <w:jc w:val="both"/>
        <w:rPr>
          <w:rFonts w:asciiTheme="minorHAnsi" w:hAnsiTheme="minorHAnsi" w:cstheme="minorHAnsi"/>
          <w:i/>
          <w:sz w:val="22"/>
          <w:szCs w:val="22"/>
        </w:rPr>
      </w:pPr>
      <w:r w:rsidRPr="007647B4">
        <w:rPr>
          <w:rFonts w:asciiTheme="minorHAnsi" w:hAnsiTheme="minorHAnsi" w:cstheme="minorHAnsi"/>
          <w:i/>
          <w:color w:val="000000" w:themeColor="text1"/>
          <w:sz w:val="22"/>
          <w:szCs w:val="22"/>
        </w:rPr>
        <w:t>“</w:t>
      </w:r>
      <w:r w:rsidRPr="007647B4">
        <w:rPr>
          <w:rFonts w:asciiTheme="minorHAnsi" w:hAnsiTheme="minorHAnsi" w:cstheme="minorHAnsi"/>
          <w:i/>
          <w:sz w:val="22"/>
          <w:szCs w:val="22"/>
        </w:rPr>
        <w:t xml:space="preserve">As demonstrated in the previous Section, Defendants have long known that nicotine creates and sustains an addiction to smoking and that cigarette sales, and ultimately tobacco company profits, depend on creating and sustaining that addiction. Section V(B)(3), supra. Given the importance of nicotine to the ultimate financial health of Defendants, they have undertaken extensive research into how nicotine operates within the human body and how the physical and chemical design parameters of cigarettes influence the delivery of nicotine to smokers. Using the knowledge produced by that research, Defendants have designed their cigarettes to precisely control nicotine delivery levels and provide doses of nicotine sufficient to create and sustain addiction. At the same time, Defendants have concealed much of their nicotine-related </w:t>
      </w:r>
      <w:proofErr w:type="gramStart"/>
      <w:r w:rsidRPr="007647B4">
        <w:rPr>
          <w:rFonts w:asciiTheme="minorHAnsi" w:hAnsiTheme="minorHAnsi" w:cstheme="minorHAnsi"/>
          <w:i/>
          <w:sz w:val="22"/>
          <w:szCs w:val="22"/>
        </w:rPr>
        <w:t>research, and</w:t>
      </w:r>
      <w:proofErr w:type="gramEnd"/>
      <w:r w:rsidRPr="007647B4">
        <w:rPr>
          <w:rFonts w:asciiTheme="minorHAnsi" w:hAnsiTheme="minorHAnsi" w:cstheme="minorHAnsi"/>
          <w:i/>
          <w:sz w:val="22"/>
          <w:szCs w:val="22"/>
        </w:rPr>
        <w:t xml:space="preserve"> have continuously and vigorously denied their efforts to control nicotine levels and delivery.</w:t>
      </w:r>
      <w:r w:rsidRPr="007647B4">
        <w:rPr>
          <w:rStyle w:val="FootnoteReference"/>
          <w:rFonts w:asciiTheme="minorHAnsi" w:hAnsiTheme="minorHAnsi" w:cstheme="minorHAnsi"/>
          <w:i/>
          <w:sz w:val="22"/>
          <w:szCs w:val="22"/>
        </w:rPr>
        <w:footnoteReference w:id="35"/>
      </w:r>
    </w:p>
    <w:p w14:paraId="08923F47" w14:textId="77777777" w:rsidR="004F0418" w:rsidRPr="007647B4" w:rsidRDefault="004F0418" w:rsidP="00226EFE">
      <w:pPr>
        <w:ind w:left="720"/>
        <w:jc w:val="both"/>
        <w:rPr>
          <w:rFonts w:asciiTheme="minorHAnsi" w:hAnsiTheme="minorHAnsi" w:cstheme="minorHAnsi"/>
          <w:i/>
          <w:sz w:val="22"/>
          <w:szCs w:val="22"/>
        </w:rPr>
      </w:pPr>
    </w:p>
    <w:p w14:paraId="5707CFE7" w14:textId="5891F0FE" w:rsidR="00D862C4" w:rsidRPr="007647B4" w:rsidRDefault="004F0418" w:rsidP="00226EFE">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lastRenderedPageBreak/>
        <w:t xml:space="preserve">Tragically, we are seeing a very similar process underway in the cannabis industry, where the concentration of tetrahydrocannabinol, the main psychoactive component of cannabis, has been </w:t>
      </w:r>
      <w:r w:rsidR="00514595" w:rsidRPr="007647B4">
        <w:rPr>
          <w:rFonts w:asciiTheme="minorHAnsi" w:hAnsiTheme="minorHAnsi" w:cstheme="minorHAnsi"/>
          <w:color w:val="000000" w:themeColor="text1"/>
          <w:sz w:val="22"/>
          <w:szCs w:val="22"/>
        </w:rPr>
        <w:t xml:space="preserve">systematically </w:t>
      </w:r>
      <w:r w:rsidRPr="007647B4">
        <w:rPr>
          <w:rFonts w:asciiTheme="minorHAnsi" w:hAnsiTheme="minorHAnsi" w:cstheme="minorHAnsi"/>
          <w:color w:val="000000" w:themeColor="text1"/>
          <w:sz w:val="22"/>
          <w:szCs w:val="22"/>
        </w:rPr>
        <w:t>increased over the past quarter century from approximately 3% to levels as high as 28% or more in flower.</w:t>
      </w:r>
      <w:r w:rsidR="00DA6B6F"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Whether this is a conscious policy to deepen addiction, or merely an attempt to provide a stronger high, the net effect is the same. Agricultural production of cannabis, whether legal or illegal, has been rapidly and massively shifting from traditional plants to more harmful high potency ones, unbalanced by cannabidiol, with a complete absence of public policy discussion or action on the associated public health risks. As California’s medical market emerged, it included not only high potency flower, but a large number of</w:t>
      </w:r>
      <w:r w:rsidR="00E4487A" w:rsidRPr="007647B4">
        <w:rPr>
          <w:rFonts w:asciiTheme="minorHAnsi" w:hAnsiTheme="minorHAnsi" w:cstheme="minorHAnsi"/>
          <w:color w:val="000000" w:themeColor="text1"/>
          <w:sz w:val="22"/>
          <w:szCs w:val="22"/>
        </w:rPr>
        <w:t xml:space="preserve"> u</w:t>
      </w:r>
      <w:r w:rsidRPr="007647B4">
        <w:rPr>
          <w:rFonts w:asciiTheme="minorHAnsi" w:hAnsiTheme="minorHAnsi" w:cstheme="minorHAnsi"/>
          <w:color w:val="000000" w:themeColor="text1"/>
          <w:sz w:val="22"/>
          <w:szCs w:val="22"/>
        </w:rPr>
        <w:t xml:space="preserve">ltra-high potency concentrates whose safety </w:t>
      </w:r>
      <w:r w:rsidR="006613D7" w:rsidRPr="007647B4">
        <w:rPr>
          <w:rFonts w:asciiTheme="minorHAnsi" w:hAnsiTheme="minorHAnsi" w:cstheme="minorHAnsi"/>
          <w:color w:val="000000" w:themeColor="text1"/>
          <w:sz w:val="22"/>
          <w:szCs w:val="22"/>
        </w:rPr>
        <w:t>is</w:t>
      </w:r>
      <w:r w:rsidRPr="007647B4">
        <w:rPr>
          <w:rFonts w:asciiTheme="minorHAnsi" w:hAnsiTheme="minorHAnsi" w:cstheme="minorHAnsi"/>
          <w:color w:val="000000" w:themeColor="text1"/>
          <w:sz w:val="22"/>
          <w:szCs w:val="22"/>
        </w:rPr>
        <w:t xml:space="preserve"> of deep concern.</w:t>
      </w:r>
      <w:r w:rsidR="00DA6B6F" w:rsidRPr="007647B4">
        <w:rPr>
          <w:rFonts w:asciiTheme="minorHAnsi" w:hAnsiTheme="minorHAnsi" w:cstheme="minorHAnsi"/>
          <w:color w:val="000000" w:themeColor="text1"/>
          <w:sz w:val="22"/>
          <w:szCs w:val="22"/>
        </w:rPr>
        <w:t xml:space="preserve"> </w:t>
      </w:r>
      <w:r w:rsidR="006613D7" w:rsidRPr="007647B4">
        <w:rPr>
          <w:rFonts w:asciiTheme="minorHAnsi" w:hAnsiTheme="minorHAnsi" w:cstheme="minorHAnsi"/>
          <w:color w:val="000000" w:themeColor="text1"/>
          <w:sz w:val="22"/>
          <w:szCs w:val="22"/>
        </w:rPr>
        <w:t xml:space="preserve">Some varieties of </w:t>
      </w:r>
      <w:r w:rsidR="00D862C4" w:rsidRPr="007647B4">
        <w:rPr>
          <w:rFonts w:asciiTheme="minorHAnsi" w:hAnsiTheme="minorHAnsi" w:cstheme="minorHAnsi"/>
          <w:color w:val="000000" w:themeColor="text1"/>
          <w:sz w:val="22"/>
          <w:szCs w:val="22"/>
        </w:rPr>
        <w:t xml:space="preserve">high potency </w:t>
      </w:r>
      <w:r w:rsidR="006613D7" w:rsidRPr="007647B4">
        <w:rPr>
          <w:rFonts w:asciiTheme="minorHAnsi" w:hAnsiTheme="minorHAnsi" w:cstheme="minorHAnsi"/>
          <w:color w:val="000000" w:themeColor="text1"/>
          <w:sz w:val="22"/>
          <w:szCs w:val="22"/>
        </w:rPr>
        <w:t xml:space="preserve">cannabis concentrate include “oil,” “wax,” and “dabs” </w:t>
      </w:r>
      <w:r w:rsidR="006613D7" w:rsidRPr="007647B4">
        <w:rPr>
          <w:rFonts w:asciiTheme="minorHAnsi" w:hAnsiTheme="minorHAnsi" w:cstheme="minorHAnsi"/>
          <w:sz w:val="22"/>
          <w:szCs w:val="22"/>
        </w:rPr>
        <w:t>typically created</w:t>
      </w:r>
      <w:r w:rsidR="00E4487A" w:rsidRPr="007647B4">
        <w:rPr>
          <w:rFonts w:asciiTheme="minorHAnsi" w:hAnsiTheme="minorHAnsi" w:cstheme="minorHAnsi"/>
          <w:sz w:val="22"/>
          <w:szCs w:val="22"/>
        </w:rPr>
        <w:t xml:space="preserve"> by</w:t>
      </w:r>
      <w:r w:rsidR="006613D7" w:rsidRPr="007647B4">
        <w:rPr>
          <w:rFonts w:asciiTheme="minorHAnsi" w:hAnsiTheme="minorHAnsi" w:cstheme="minorHAnsi"/>
          <w:sz w:val="22"/>
          <w:szCs w:val="22"/>
        </w:rPr>
        <w:t xml:space="preserve"> butane extraction.</w:t>
      </w:r>
      <w:r w:rsidR="006613D7" w:rsidRPr="007647B4">
        <w:rPr>
          <w:rStyle w:val="FootnoteReference"/>
          <w:rFonts w:asciiTheme="minorHAnsi" w:hAnsiTheme="minorHAnsi" w:cstheme="minorHAnsi"/>
          <w:sz w:val="22"/>
          <w:szCs w:val="22"/>
        </w:rPr>
        <w:footnoteReference w:id="36"/>
      </w:r>
      <w:r w:rsidR="006613D7" w:rsidRPr="007647B4">
        <w:rPr>
          <w:rFonts w:asciiTheme="minorHAnsi" w:hAnsiTheme="minorHAnsi" w:cstheme="minorHAnsi"/>
          <w:color w:val="000000" w:themeColor="text1"/>
          <w:sz w:val="22"/>
          <w:szCs w:val="22"/>
        </w:rPr>
        <w:t xml:space="preserve"> </w:t>
      </w:r>
    </w:p>
    <w:p w14:paraId="14CC7AB3" w14:textId="77777777" w:rsidR="00D862C4" w:rsidRPr="007647B4" w:rsidRDefault="00D862C4" w:rsidP="00226EFE">
      <w:pPr>
        <w:jc w:val="both"/>
        <w:rPr>
          <w:rFonts w:asciiTheme="minorHAnsi" w:hAnsiTheme="minorHAnsi" w:cstheme="minorHAnsi"/>
          <w:color w:val="000000" w:themeColor="text1"/>
          <w:sz w:val="22"/>
          <w:szCs w:val="22"/>
        </w:rPr>
      </w:pPr>
    </w:p>
    <w:p w14:paraId="6D9243B5" w14:textId="61BFC3EE" w:rsidR="004F0418" w:rsidRPr="007647B4" w:rsidRDefault="004F0418" w:rsidP="00226EFE">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El Sohly </w:t>
      </w:r>
      <w:r w:rsidRPr="007647B4">
        <w:rPr>
          <w:rFonts w:asciiTheme="minorHAnsi" w:hAnsiTheme="minorHAnsi" w:cstheme="minorHAnsi"/>
          <w:i/>
          <w:color w:val="000000" w:themeColor="text1"/>
          <w:sz w:val="22"/>
          <w:szCs w:val="22"/>
        </w:rPr>
        <w:t>et al</w:t>
      </w:r>
      <w:r w:rsidRPr="007647B4">
        <w:rPr>
          <w:rFonts w:asciiTheme="minorHAnsi" w:hAnsiTheme="minorHAnsi" w:cstheme="minorHAnsi"/>
          <w:color w:val="000000" w:themeColor="text1"/>
          <w:sz w:val="22"/>
          <w:szCs w:val="22"/>
        </w:rPr>
        <w:t xml:space="preserve"> note: </w:t>
      </w:r>
    </w:p>
    <w:p w14:paraId="1F3C6A72" w14:textId="77777777" w:rsidR="004F0418" w:rsidRPr="007647B4" w:rsidRDefault="004F0418" w:rsidP="00226EFE">
      <w:pPr>
        <w:jc w:val="both"/>
        <w:rPr>
          <w:rFonts w:asciiTheme="minorHAnsi" w:hAnsiTheme="minorHAnsi" w:cstheme="minorHAnsi"/>
          <w:color w:val="000000" w:themeColor="text1"/>
          <w:sz w:val="22"/>
          <w:szCs w:val="22"/>
        </w:rPr>
      </w:pPr>
    </w:p>
    <w:p w14:paraId="6BCC5C45" w14:textId="7ADD3D2A" w:rsidR="004F0418" w:rsidRPr="007647B4" w:rsidRDefault="004F0418" w:rsidP="00226EFE">
      <w:pPr>
        <w:ind w:left="720"/>
        <w:jc w:val="both"/>
        <w:rPr>
          <w:rFonts w:asciiTheme="minorHAnsi" w:hAnsiTheme="minorHAnsi" w:cstheme="minorHAnsi"/>
          <w:i/>
          <w:color w:val="000000" w:themeColor="text1"/>
          <w:sz w:val="22"/>
          <w:szCs w:val="22"/>
        </w:rPr>
      </w:pPr>
      <w:r w:rsidRPr="007647B4">
        <w:rPr>
          <w:rFonts w:asciiTheme="minorHAnsi" w:hAnsiTheme="minorHAnsi" w:cstheme="minorHAnsi"/>
          <w:i/>
          <w:color w:val="000000" w:themeColor="text1"/>
          <w:sz w:val="22"/>
          <w:szCs w:val="22"/>
        </w:rPr>
        <w:t>“Between January 1, 1995, and December 31, 2014, 38,681 samples of cannabis preparations were received and analyzed. The data showed that although the number of marijuana samples seized over the last 4 years has declined, the number of sinsemilla samples has increased. Overall, the potency of illicit cannabis plant material has consistently increased over time since 1995 from ~4% in 1995 to ~12% in 2014. The cannabidiol content has decreased on average from ~.28% in 2001 to &lt;.15% in 2014, resulting in a change in the ratio of Δ</w:t>
      </w:r>
      <w:r w:rsidRPr="007647B4">
        <w:rPr>
          <w:rFonts w:asciiTheme="minorHAnsi" w:hAnsiTheme="minorHAnsi" w:cstheme="minorHAnsi"/>
          <w:i/>
          <w:color w:val="000000" w:themeColor="text1"/>
          <w:sz w:val="22"/>
          <w:szCs w:val="22"/>
          <w:vertAlign w:val="superscript"/>
        </w:rPr>
        <w:t>9</w:t>
      </w:r>
      <w:r w:rsidRPr="007647B4">
        <w:rPr>
          <w:rFonts w:asciiTheme="minorHAnsi" w:hAnsiTheme="minorHAnsi" w:cstheme="minorHAnsi"/>
          <w:i/>
          <w:color w:val="000000" w:themeColor="text1"/>
          <w:sz w:val="22"/>
          <w:szCs w:val="22"/>
        </w:rPr>
        <w:t>-tetrahydrocannabinol to cannabidiol from 14 times in 1995 to ~80 times in 2014.”</w:t>
      </w:r>
      <w:r w:rsidRPr="007647B4">
        <w:rPr>
          <w:rStyle w:val="FootnoteReference"/>
          <w:rFonts w:asciiTheme="minorHAnsi" w:hAnsiTheme="minorHAnsi" w:cstheme="minorHAnsi"/>
          <w:i/>
          <w:color w:val="000000" w:themeColor="text1"/>
          <w:sz w:val="22"/>
          <w:szCs w:val="22"/>
        </w:rPr>
        <w:footnoteReference w:id="37"/>
      </w:r>
      <w:r w:rsidRPr="007647B4">
        <w:rPr>
          <w:rFonts w:asciiTheme="minorHAnsi" w:hAnsiTheme="minorHAnsi" w:cstheme="minorHAnsi"/>
          <w:i/>
          <w:color w:val="000000" w:themeColor="text1"/>
          <w:sz w:val="22"/>
          <w:szCs w:val="22"/>
        </w:rPr>
        <w:t xml:space="preserve"> </w:t>
      </w:r>
    </w:p>
    <w:p w14:paraId="19FCC080" w14:textId="77777777" w:rsidR="004F0418" w:rsidRPr="007647B4" w:rsidRDefault="004F0418" w:rsidP="00226EFE">
      <w:pPr>
        <w:jc w:val="both"/>
        <w:rPr>
          <w:rFonts w:asciiTheme="minorHAnsi" w:hAnsiTheme="minorHAnsi" w:cstheme="minorHAnsi"/>
          <w:sz w:val="22"/>
          <w:szCs w:val="22"/>
        </w:rPr>
      </w:pPr>
    </w:p>
    <w:p w14:paraId="1071A4AD" w14:textId="71D71DB5" w:rsidR="004F0418" w:rsidRPr="007647B4" w:rsidRDefault="004F0418" w:rsidP="007647B4">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This transition to higher potency has been particularly dramatic </w:t>
      </w:r>
      <w:r w:rsidRPr="007647B4">
        <w:rPr>
          <w:rFonts w:asciiTheme="minorHAnsi" w:hAnsiTheme="minorHAnsi" w:cstheme="minorHAnsi"/>
          <w:b/>
          <w:color w:val="000000" w:themeColor="text1"/>
          <w:sz w:val="22"/>
          <w:szCs w:val="22"/>
        </w:rPr>
        <w:t xml:space="preserve">post-legalization of </w:t>
      </w:r>
      <w:r w:rsidR="001B2BE9" w:rsidRPr="007647B4">
        <w:rPr>
          <w:rFonts w:asciiTheme="minorHAnsi" w:hAnsiTheme="minorHAnsi" w:cstheme="minorHAnsi"/>
          <w:b/>
          <w:color w:val="000000" w:themeColor="text1"/>
          <w:sz w:val="22"/>
          <w:szCs w:val="22"/>
        </w:rPr>
        <w:t xml:space="preserve">adult-use </w:t>
      </w:r>
      <w:r w:rsidRPr="007647B4">
        <w:rPr>
          <w:rFonts w:asciiTheme="minorHAnsi" w:hAnsiTheme="minorHAnsi" w:cstheme="minorHAnsi"/>
          <w:b/>
          <w:color w:val="000000" w:themeColor="text1"/>
          <w:sz w:val="22"/>
          <w:szCs w:val="22"/>
        </w:rPr>
        <w:t>cannabis</w:t>
      </w:r>
      <w:r w:rsidRPr="007647B4">
        <w:rPr>
          <w:rFonts w:asciiTheme="minorHAnsi" w:hAnsiTheme="minorHAnsi" w:cstheme="minorHAnsi"/>
          <w:color w:val="000000" w:themeColor="text1"/>
          <w:sz w:val="22"/>
          <w:szCs w:val="22"/>
        </w:rPr>
        <w:t>, with a recent study by RAND of the legalized market in the state of Washington demonstrating the rapid disappearance of traditional cannabis with concentrations of THC below 10% and the extraordinarily rapid growth of high potency flower with over 15%</w:t>
      </w:r>
      <w:r w:rsidR="00DA6B6F"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and 20% in the short period between 2014-2016:</w:t>
      </w:r>
      <w:r w:rsidR="00237BF4" w:rsidRPr="007647B4">
        <w:rPr>
          <w:rFonts w:asciiTheme="minorHAnsi" w:hAnsiTheme="minorHAnsi" w:cstheme="minorHAnsi"/>
          <w:color w:val="000000" w:themeColor="text1"/>
          <w:sz w:val="22"/>
          <w:szCs w:val="22"/>
        </w:rPr>
        <w:t xml:space="preserve"> </w:t>
      </w:r>
    </w:p>
    <w:p w14:paraId="7F9210CB" w14:textId="77777777" w:rsidR="00514595" w:rsidRPr="007647B4" w:rsidRDefault="00514595" w:rsidP="007647B4">
      <w:pPr>
        <w:jc w:val="both"/>
        <w:rPr>
          <w:rFonts w:asciiTheme="minorHAnsi" w:hAnsiTheme="minorHAnsi" w:cstheme="minorHAnsi"/>
          <w:color w:val="000000" w:themeColor="text1"/>
          <w:sz w:val="22"/>
          <w:szCs w:val="22"/>
        </w:rPr>
      </w:pPr>
    </w:p>
    <w:p w14:paraId="5A4E5A54" w14:textId="4F92E2FE" w:rsidR="00D862C4" w:rsidRPr="007647B4" w:rsidRDefault="00237BF4" w:rsidP="007647B4">
      <w:pPr>
        <w:ind w:left="720"/>
        <w:jc w:val="both"/>
        <w:rPr>
          <w:rFonts w:asciiTheme="minorHAnsi" w:hAnsiTheme="minorHAnsi" w:cstheme="minorHAnsi"/>
          <w:color w:val="000000" w:themeColor="text1"/>
          <w:sz w:val="22"/>
          <w:szCs w:val="22"/>
        </w:rPr>
      </w:pPr>
      <w:r w:rsidRPr="007647B4">
        <w:rPr>
          <w:rFonts w:asciiTheme="minorHAnsi" w:hAnsiTheme="minorHAnsi" w:cstheme="minorHAnsi"/>
          <w:i/>
          <w:noProof/>
          <w:color w:val="000000" w:themeColor="text1"/>
          <w:sz w:val="22"/>
          <w:szCs w:val="22"/>
        </w:rPr>
        <w:drawing>
          <wp:anchor distT="0" distB="0" distL="114300" distR="114300" simplePos="0" relativeHeight="251665408" behindDoc="1" locked="0" layoutInCell="1" allowOverlap="1" wp14:anchorId="5F706BA5" wp14:editId="692C2B01">
            <wp:simplePos x="0" y="0"/>
            <wp:positionH relativeFrom="column">
              <wp:posOffset>-243840</wp:posOffset>
            </wp:positionH>
            <wp:positionV relativeFrom="paragraph">
              <wp:posOffset>25400</wp:posOffset>
            </wp:positionV>
            <wp:extent cx="3948430" cy="2317750"/>
            <wp:effectExtent l="0" t="0" r="1270" b="6350"/>
            <wp:wrapTight wrapText="bothSides">
              <wp:wrapPolygon edited="0">
                <wp:start x="0" y="0"/>
                <wp:lineTo x="0" y="21541"/>
                <wp:lineTo x="21537" y="21541"/>
                <wp:lineTo x="215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8-09 at 1.11.22 PM.png"/>
                    <pic:cNvPicPr/>
                  </pic:nvPicPr>
                  <pic:blipFill>
                    <a:blip r:embed="rId10">
                      <a:extLst>
                        <a:ext uri="{28A0092B-C50C-407E-A947-70E740481C1C}">
                          <a14:useLocalDpi xmlns:a14="http://schemas.microsoft.com/office/drawing/2010/main" val="0"/>
                        </a:ext>
                      </a:extLst>
                    </a:blip>
                    <a:stretch>
                      <a:fillRect/>
                    </a:stretch>
                  </pic:blipFill>
                  <pic:spPr>
                    <a:xfrm>
                      <a:off x="0" y="0"/>
                      <a:ext cx="3948430" cy="2317750"/>
                    </a:xfrm>
                    <a:prstGeom prst="rect">
                      <a:avLst/>
                    </a:prstGeom>
                  </pic:spPr>
                </pic:pic>
              </a:graphicData>
            </a:graphic>
            <wp14:sizeRelH relativeFrom="page">
              <wp14:pctWidth>0</wp14:pctWidth>
            </wp14:sizeRelH>
            <wp14:sizeRelV relativeFrom="page">
              <wp14:pctHeight>0</wp14:pctHeight>
            </wp14:sizeRelV>
          </wp:anchor>
        </w:drawing>
      </w:r>
      <w:r w:rsidR="00D862C4" w:rsidRPr="007647B4">
        <w:rPr>
          <w:rFonts w:asciiTheme="minorHAnsi" w:hAnsiTheme="minorHAnsi" w:cstheme="minorHAnsi"/>
          <w:i/>
          <w:color w:val="000000" w:themeColor="text1"/>
          <w:sz w:val="22"/>
          <w:szCs w:val="22"/>
        </w:rPr>
        <w:t>“Among flower products, the market share of strains with greater than 15% THC has grown to 92.5% of flower sales (Fig. 3), and (not shown) an even greater share of THC consumption. Flowers with less than 10% THC now</w:t>
      </w:r>
      <w:r w:rsidR="00E4487A" w:rsidRPr="007647B4">
        <w:rPr>
          <w:rFonts w:asciiTheme="minorHAnsi" w:hAnsiTheme="minorHAnsi" w:cstheme="minorHAnsi"/>
          <w:i/>
          <w:color w:val="000000" w:themeColor="text1"/>
          <w:sz w:val="22"/>
          <w:szCs w:val="22"/>
        </w:rPr>
        <w:t xml:space="preserve"> </w:t>
      </w:r>
      <w:r w:rsidR="00D862C4" w:rsidRPr="007647B4">
        <w:rPr>
          <w:rFonts w:asciiTheme="minorHAnsi" w:hAnsiTheme="minorHAnsi" w:cstheme="minorHAnsi"/>
          <w:i/>
          <w:color w:val="000000" w:themeColor="text1"/>
          <w:sz w:val="22"/>
          <w:szCs w:val="22"/>
        </w:rPr>
        <w:t xml:space="preserve">account for less than 2% of flower expenditures, and market share for flower products with 10–15% THC has declined significantly by 60.4% since October 2014 (linear trend P = 0.007;). In contrast, </w:t>
      </w:r>
      <w:r w:rsidR="00D862C4" w:rsidRPr="007647B4">
        <w:rPr>
          <w:rFonts w:asciiTheme="minorHAnsi" w:hAnsiTheme="minorHAnsi" w:cstheme="minorHAnsi"/>
          <w:b/>
          <w:i/>
          <w:color w:val="000000" w:themeColor="text1"/>
          <w:sz w:val="22"/>
          <w:szCs w:val="22"/>
        </w:rPr>
        <w:t xml:space="preserve">the market share of flower products with more than 20% THC has increased by 48.4% since </w:t>
      </w:r>
      <w:r w:rsidR="00D862C4" w:rsidRPr="007647B4">
        <w:rPr>
          <w:rFonts w:asciiTheme="minorHAnsi" w:hAnsiTheme="minorHAnsi" w:cstheme="minorHAnsi"/>
          <w:b/>
          <w:i/>
          <w:color w:val="000000" w:themeColor="text1"/>
          <w:sz w:val="22"/>
          <w:szCs w:val="22"/>
        </w:rPr>
        <w:lastRenderedPageBreak/>
        <w:t>October 2014, now accounting for 56.5% of retail expenditures on cannabis flower</w:t>
      </w:r>
      <w:r w:rsidR="00D862C4" w:rsidRPr="007647B4">
        <w:rPr>
          <w:rFonts w:asciiTheme="minorHAnsi" w:hAnsiTheme="minorHAnsi" w:cstheme="minorHAnsi"/>
          <w:i/>
          <w:color w:val="000000" w:themeColor="text1"/>
          <w:sz w:val="22"/>
          <w:szCs w:val="22"/>
        </w:rPr>
        <w:t>….” (See Figure)</w:t>
      </w:r>
      <w:r w:rsidR="00D862C4" w:rsidRPr="007647B4">
        <w:rPr>
          <w:rStyle w:val="FootnoteReference"/>
          <w:rFonts w:asciiTheme="minorHAnsi" w:hAnsiTheme="minorHAnsi" w:cstheme="minorHAnsi"/>
          <w:i/>
          <w:color w:val="000000" w:themeColor="text1"/>
          <w:sz w:val="22"/>
          <w:szCs w:val="22"/>
        </w:rPr>
        <w:footnoteReference w:id="38"/>
      </w:r>
    </w:p>
    <w:p w14:paraId="72C740D5" w14:textId="1076B366" w:rsidR="004F0418" w:rsidRPr="007647B4" w:rsidRDefault="004F0418" w:rsidP="00A549C2">
      <w:pPr>
        <w:ind w:right="-720"/>
        <w:jc w:val="both"/>
        <w:rPr>
          <w:rFonts w:asciiTheme="minorHAnsi" w:hAnsiTheme="minorHAnsi" w:cstheme="minorHAnsi"/>
          <w:color w:val="000000" w:themeColor="text1"/>
          <w:sz w:val="22"/>
          <w:szCs w:val="22"/>
        </w:rPr>
      </w:pPr>
    </w:p>
    <w:p w14:paraId="60264AF4" w14:textId="1045F631" w:rsidR="004F0418" w:rsidRPr="007647B4" w:rsidRDefault="004F0418" w:rsidP="00A549C2">
      <w:pPr>
        <w:ind w:right="-720"/>
        <w:jc w:val="both"/>
        <w:rPr>
          <w:rFonts w:asciiTheme="minorHAnsi" w:hAnsiTheme="minorHAnsi" w:cstheme="minorHAnsi"/>
          <w:color w:val="333333"/>
          <w:sz w:val="22"/>
          <w:szCs w:val="22"/>
        </w:rPr>
      </w:pPr>
      <w:r w:rsidRPr="007647B4">
        <w:rPr>
          <w:rFonts w:asciiTheme="minorHAnsi" w:hAnsiTheme="minorHAnsi" w:cstheme="minorHAnsi"/>
          <w:color w:val="333333"/>
          <w:sz w:val="22"/>
          <w:szCs w:val="22"/>
        </w:rPr>
        <w:t xml:space="preserve">The potential health effects of these shifts are of great concern. According to Sagar and Gruber: </w:t>
      </w:r>
    </w:p>
    <w:p w14:paraId="4C95838F" w14:textId="566B8A1C" w:rsidR="00D862C4" w:rsidRPr="007647B4" w:rsidRDefault="00D862C4" w:rsidP="00197CD2">
      <w:pPr>
        <w:ind w:right="-720"/>
        <w:jc w:val="both"/>
        <w:rPr>
          <w:rFonts w:asciiTheme="minorHAnsi" w:hAnsiTheme="minorHAnsi" w:cstheme="minorHAnsi"/>
          <w:i/>
          <w:color w:val="333333"/>
          <w:sz w:val="22"/>
          <w:szCs w:val="22"/>
        </w:rPr>
      </w:pPr>
    </w:p>
    <w:p w14:paraId="4BA04F6C" w14:textId="280D6E43" w:rsidR="004F0418" w:rsidRPr="007647B4" w:rsidRDefault="004F0418" w:rsidP="002F3B3D">
      <w:pPr>
        <w:ind w:left="720"/>
        <w:jc w:val="both"/>
        <w:rPr>
          <w:rFonts w:asciiTheme="minorHAnsi" w:hAnsiTheme="minorHAnsi" w:cstheme="minorHAnsi"/>
          <w:i/>
          <w:color w:val="333333"/>
          <w:sz w:val="22"/>
          <w:szCs w:val="22"/>
        </w:rPr>
      </w:pPr>
      <w:r w:rsidRPr="007647B4">
        <w:rPr>
          <w:rFonts w:asciiTheme="minorHAnsi" w:hAnsiTheme="minorHAnsi" w:cstheme="minorHAnsi"/>
          <w:i/>
          <w:color w:val="333333"/>
          <w:sz w:val="22"/>
          <w:szCs w:val="22"/>
        </w:rPr>
        <w:t>“Although one study showed that individuals who smoke high potency MJ flower titrate their use to receive less THC, some suggest that, despite attempts to titrate high potency products, users are still exposed to higher amounts of THC than those using lower potency products</w:t>
      </w:r>
      <w:r w:rsidR="00862ABB" w:rsidRPr="007647B4">
        <w:rPr>
          <w:rFonts w:asciiTheme="minorHAnsi" w:hAnsiTheme="minorHAnsi" w:cstheme="minorHAnsi"/>
          <w:i/>
          <w:color w:val="333333"/>
          <w:sz w:val="22"/>
          <w:szCs w:val="22"/>
        </w:rPr>
        <w:t>,</w:t>
      </w:r>
      <w:r w:rsidRPr="007647B4">
        <w:rPr>
          <w:rStyle w:val="FootnoteReference"/>
          <w:rFonts w:asciiTheme="minorHAnsi" w:hAnsiTheme="minorHAnsi" w:cstheme="minorHAnsi"/>
          <w:i/>
          <w:color w:val="333333"/>
          <w:sz w:val="22"/>
          <w:szCs w:val="22"/>
        </w:rPr>
        <w:footnoteReference w:id="39"/>
      </w:r>
      <w:r w:rsidRPr="007647B4">
        <w:rPr>
          <w:rFonts w:asciiTheme="minorHAnsi" w:hAnsiTheme="minorHAnsi" w:cstheme="minorHAnsi"/>
          <w:i/>
          <w:color w:val="333333"/>
          <w:sz w:val="22"/>
          <w:szCs w:val="22"/>
        </w:rPr>
        <w:t xml:space="preserve"> while still other studies have shown that individuals do not adjust their use when using higher potency products</w:t>
      </w:r>
      <w:r w:rsidR="00862ABB" w:rsidRPr="007647B4">
        <w:rPr>
          <w:rFonts w:asciiTheme="minorHAnsi" w:hAnsiTheme="minorHAnsi" w:cstheme="minorHAnsi"/>
          <w:i/>
          <w:color w:val="333333"/>
          <w:sz w:val="22"/>
          <w:szCs w:val="22"/>
        </w:rPr>
        <w:t>.</w:t>
      </w:r>
      <w:r w:rsidRPr="007647B4">
        <w:rPr>
          <w:rStyle w:val="FootnoteReference"/>
          <w:rFonts w:asciiTheme="minorHAnsi" w:hAnsiTheme="minorHAnsi" w:cstheme="minorHAnsi"/>
          <w:i/>
          <w:color w:val="333333"/>
          <w:sz w:val="22"/>
          <w:szCs w:val="22"/>
        </w:rPr>
        <w:footnoteReference w:id="40"/>
      </w:r>
      <w:r w:rsidRPr="007647B4">
        <w:rPr>
          <w:rFonts w:asciiTheme="minorHAnsi" w:hAnsiTheme="minorHAnsi" w:cstheme="minorHAnsi"/>
          <w:i/>
          <w:color w:val="333333"/>
          <w:sz w:val="22"/>
          <w:szCs w:val="22"/>
        </w:rPr>
        <w:t xml:space="preserve"> Increased exposure to THC has also been associated with increased symptoms of cannabis use disorders</w:t>
      </w:r>
      <w:r w:rsidR="00862ABB" w:rsidRPr="007647B4">
        <w:rPr>
          <w:rFonts w:asciiTheme="minorHAnsi" w:hAnsiTheme="minorHAnsi" w:cstheme="minorHAnsi"/>
          <w:i/>
          <w:color w:val="333333"/>
          <w:sz w:val="22"/>
          <w:szCs w:val="22"/>
        </w:rPr>
        <w:t>,</w:t>
      </w:r>
      <w:r w:rsidRPr="007647B4">
        <w:rPr>
          <w:rStyle w:val="FootnoteReference"/>
          <w:rFonts w:asciiTheme="minorHAnsi" w:hAnsiTheme="minorHAnsi" w:cstheme="minorHAnsi"/>
          <w:i/>
          <w:color w:val="333333"/>
          <w:sz w:val="22"/>
          <w:szCs w:val="22"/>
        </w:rPr>
        <w:footnoteReference w:id="41"/>
      </w:r>
      <w:r w:rsidRPr="007647B4">
        <w:rPr>
          <w:rFonts w:asciiTheme="minorHAnsi" w:hAnsiTheme="minorHAnsi" w:cstheme="minorHAnsi"/>
          <w:i/>
          <w:color w:val="333333"/>
          <w:sz w:val="22"/>
          <w:szCs w:val="22"/>
          <w:vertAlign w:val="superscript"/>
        </w:rPr>
        <w:t>,</w:t>
      </w:r>
      <w:r w:rsidRPr="007647B4">
        <w:rPr>
          <w:rStyle w:val="FootnoteReference"/>
          <w:rFonts w:asciiTheme="minorHAnsi" w:hAnsiTheme="minorHAnsi" w:cstheme="minorHAnsi"/>
          <w:i/>
          <w:color w:val="333333"/>
          <w:sz w:val="22"/>
          <w:szCs w:val="22"/>
        </w:rPr>
        <w:footnoteReference w:id="42"/>
      </w:r>
      <w:r w:rsidRPr="007647B4">
        <w:rPr>
          <w:rFonts w:asciiTheme="minorHAnsi" w:hAnsiTheme="minorHAnsi" w:cstheme="minorHAnsi"/>
          <w:i/>
          <w:color w:val="333333"/>
          <w:sz w:val="22"/>
          <w:szCs w:val="22"/>
          <w:vertAlign w:val="superscript"/>
        </w:rPr>
        <w:t xml:space="preserve">, </w:t>
      </w:r>
      <w:r w:rsidRPr="007647B4">
        <w:rPr>
          <w:rFonts w:asciiTheme="minorHAnsi" w:hAnsiTheme="minorHAnsi" w:cstheme="minorHAnsi"/>
          <w:i/>
          <w:color w:val="333333"/>
          <w:sz w:val="22"/>
          <w:szCs w:val="22"/>
        </w:rPr>
        <w:t>increased risk for of psychosis</w:t>
      </w:r>
      <w:r w:rsidR="00862ABB" w:rsidRPr="007647B4">
        <w:rPr>
          <w:rFonts w:asciiTheme="minorHAnsi" w:hAnsiTheme="minorHAnsi" w:cstheme="minorHAnsi"/>
          <w:i/>
          <w:color w:val="333333"/>
          <w:sz w:val="22"/>
          <w:szCs w:val="22"/>
        </w:rPr>
        <w:t>,</w:t>
      </w:r>
      <w:r w:rsidRPr="007647B4">
        <w:rPr>
          <w:rFonts w:asciiTheme="minorHAnsi" w:hAnsiTheme="minorHAnsi" w:cstheme="minorHAnsi"/>
          <w:i/>
          <w:color w:val="333333"/>
          <w:sz w:val="22"/>
          <w:szCs w:val="22"/>
        </w:rPr>
        <w:t> </w:t>
      </w:r>
      <w:r w:rsidRPr="007647B4">
        <w:rPr>
          <w:rStyle w:val="FootnoteReference"/>
          <w:rFonts w:asciiTheme="minorHAnsi" w:hAnsiTheme="minorHAnsi" w:cstheme="minorHAnsi"/>
          <w:i/>
          <w:color w:val="333333"/>
          <w:sz w:val="22"/>
          <w:szCs w:val="22"/>
        </w:rPr>
        <w:footnoteReference w:id="43"/>
      </w:r>
      <w:r w:rsidRPr="007647B4">
        <w:rPr>
          <w:rStyle w:val="hlfld-contribauthor"/>
          <w:rFonts w:asciiTheme="minorHAnsi" w:hAnsiTheme="minorHAnsi" w:cstheme="minorHAnsi"/>
          <w:i/>
          <w:color w:val="333333"/>
          <w:sz w:val="22"/>
          <w:szCs w:val="22"/>
          <w:shd w:val="clear" w:color="auto" w:fill="FFFFFF"/>
          <w:vertAlign w:val="superscript"/>
        </w:rPr>
        <w:t>,</w:t>
      </w:r>
      <w:r w:rsidRPr="007647B4">
        <w:rPr>
          <w:rStyle w:val="FootnoteReference"/>
          <w:rFonts w:asciiTheme="minorHAnsi" w:hAnsiTheme="minorHAnsi" w:cstheme="minorHAnsi"/>
          <w:i/>
          <w:color w:val="333333"/>
          <w:sz w:val="22"/>
          <w:szCs w:val="22"/>
          <w:shd w:val="clear" w:color="auto" w:fill="FFFFFF"/>
        </w:rPr>
        <w:footnoteReference w:id="44"/>
      </w:r>
      <w:r w:rsidRPr="007647B4">
        <w:rPr>
          <w:rStyle w:val="xlinks-container"/>
          <w:rFonts w:asciiTheme="minorHAnsi" w:hAnsiTheme="minorHAnsi" w:cstheme="minorHAnsi"/>
          <w:i/>
          <w:color w:val="333333"/>
          <w:sz w:val="22"/>
          <w:szCs w:val="22"/>
          <w:shd w:val="clear" w:color="auto" w:fill="FFFFFF"/>
        </w:rPr>
        <w:t xml:space="preserve"> </w:t>
      </w:r>
      <w:r w:rsidRPr="007647B4">
        <w:rPr>
          <w:rFonts w:asciiTheme="minorHAnsi" w:hAnsiTheme="minorHAnsi" w:cstheme="minorHAnsi"/>
          <w:i/>
          <w:color w:val="333333"/>
          <w:sz w:val="22"/>
          <w:szCs w:val="22"/>
        </w:rPr>
        <w:t>and, as observed in acute administration studies, impaired cognition</w:t>
      </w:r>
      <w:r w:rsidR="00862ABB" w:rsidRPr="007647B4">
        <w:rPr>
          <w:rFonts w:asciiTheme="minorHAnsi" w:hAnsiTheme="minorHAnsi" w:cstheme="minorHAnsi"/>
          <w:i/>
          <w:color w:val="333333"/>
          <w:sz w:val="22"/>
          <w:szCs w:val="22"/>
        </w:rPr>
        <w:t>.</w:t>
      </w:r>
      <w:r w:rsidRPr="007647B4">
        <w:rPr>
          <w:rStyle w:val="FootnoteReference"/>
          <w:rFonts w:asciiTheme="minorHAnsi" w:hAnsiTheme="minorHAnsi" w:cstheme="minorHAnsi"/>
          <w:i/>
          <w:color w:val="333333"/>
          <w:sz w:val="22"/>
          <w:szCs w:val="22"/>
        </w:rPr>
        <w:footnoteReference w:id="45"/>
      </w:r>
      <w:r w:rsidRPr="007647B4">
        <w:rPr>
          <w:rFonts w:asciiTheme="minorHAnsi" w:hAnsiTheme="minorHAnsi" w:cstheme="minorHAnsi"/>
          <w:i/>
          <w:color w:val="333333"/>
          <w:sz w:val="22"/>
          <w:szCs w:val="22"/>
          <w:vertAlign w:val="superscript"/>
        </w:rPr>
        <w:t>,</w:t>
      </w:r>
      <w:r w:rsidRPr="007647B4">
        <w:rPr>
          <w:rStyle w:val="FootnoteReference"/>
          <w:rFonts w:asciiTheme="minorHAnsi" w:hAnsiTheme="minorHAnsi" w:cstheme="minorHAnsi"/>
          <w:i/>
          <w:color w:val="333333"/>
          <w:sz w:val="22"/>
          <w:szCs w:val="22"/>
        </w:rPr>
        <w:footnoteReference w:id="46"/>
      </w:r>
      <w:r w:rsidRPr="007647B4">
        <w:rPr>
          <w:rStyle w:val="xlinks-container"/>
          <w:rFonts w:asciiTheme="minorHAnsi" w:hAnsiTheme="minorHAnsi" w:cstheme="minorHAnsi"/>
          <w:i/>
          <w:color w:val="333333"/>
          <w:sz w:val="22"/>
          <w:szCs w:val="22"/>
          <w:shd w:val="clear" w:color="auto" w:fill="FFFFFF"/>
          <w:vertAlign w:val="superscript"/>
        </w:rPr>
        <w:t>,</w:t>
      </w:r>
      <w:r w:rsidRPr="007647B4">
        <w:rPr>
          <w:rStyle w:val="FootnoteReference"/>
          <w:rFonts w:asciiTheme="minorHAnsi" w:hAnsiTheme="minorHAnsi" w:cstheme="minorHAnsi"/>
          <w:i/>
          <w:color w:val="333333"/>
          <w:sz w:val="22"/>
          <w:szCs w:val="22"/>
          <w:shd w:val="clear" w:color="auto" w:fill="FFFFFF"/>
        </w:rPr>
        <w:footnoteReference w:id="47"/>
      </w:r>
      <w:r w:rsidRPr="007647B4">
        <w:rPr>
          <w:rFonts w:asciiTheme="minorHAnsi" w:hAnsiTheme="minorHAnsi" w:cstheme="minorHAnsi"/>
          <w:i/>
          <w:color w:val="333333"/>
          <w:sz w:val="22"/>
          <w:szCs w:val="22"/>
        </w:rPr>
        <w:t xml:space="preserve"> In addition, one study assessing the relationship between brain structure and potency of MJ flower products, classified as either ‘high’ or ‘low’ potency by self-report, noted alterations in corpus callosum white matter microstructure in high-potency MJ users compared to low-potency users and controls.</w:t>
      </w:r>
      <w:r w:rsidR="00862ABB" w:rsidRPr="007647B4">
        <w:rPr>
          <w:rFonts w:asciiTheme="minorHAnsi" w:hAnsiTheme="minorHAnsi" w:cstheme="minorHAnsi"/>
          <w:i/>
          <w:color w:val="333333"/>
          <w:sz w:val="22"/>
          <w:szCs w:val="22"/>
        </w:rPr>
        <w:t>”</w:t>
      </w:r>
      <w:r w:rsidRPr="007647B4">
        <w:rPr>
          <w:rStyle w:val="FootnoteReference"/>
          <w:rFonts w:asciiTheme="minorHAnsi" w:hAnsiTheme="minorHAnsi" w:cstheme="minorHAnsi"/>
          <w:i/>
          <w:color w:val="333333"/>
          <w:sz w:val="22"/>
          <w:szCs w:val="22"/>
        </w:rPr>
        <w:footnoteReference w:id="48"/>
      </w:r>
    </w:p>
    <w:p w14:paraId="6013C583" w14:textId="59D6E3AF" w:rsidR="004F0418" w:rsidRPr="007647B4" w:rsidRDefault="00514595" w:rsidP="00197CD2">
      <w:pPr>
        <w:jc w:val="both"/>
        <w:rPr>
          <w:rFonts w:asciiTheme="minorHAnsi" w:hAnsiTheme="minorHAnsi" w:cstheme="minorHAnsi"/>
          <w:sz w:val="22"/>
          <w:szCs w:val="22"/>
        </w:rPr>
      </w:pPr>
      <w:r w:rsidRPr="007647B4">
        <w:rPr>
          <w:rFonts w:asciiTheme="minorHAnsi" w:hAnsiTheme="minorHAnsi" w:cstheme="minorHAnsi"/>
          <w:noProof/>
          <w:color w:val="000000" w:themeColor="text1"/>
          <w:sz w:val="22"/>
          <w:szCs w:val="22"/>
        </w:rPr>
        <w:drawing>
          <wp:anchor distT="0" distB="0" distL="114300" distR="114300" simplePos="0" relativeHeight="251667456" behindDoc="1" locked="0" layoutInCell="1" allowOverlap="1" wp14:anchorId="58636969" wp14:editId="27C31E1E">
            <wp:simplePos x="0" y="0"/>
            <wp:positionH relativeFrom="column">
              <wp:posOffset>321310</wp:posOffset>
            </wp:positionH>
            <wp:positionV relativeFrom="paragraph">
              <wp:posOffset>3784</wp:posOffset>
            </wp:positionV>
            <wp:extent cx="2698750" cy="2006600"/>
            <wp:effectExtent l="0" t="0" r="6350" b="0"/>
            <wp:wrapTight wrapText="bothSides">
              <wp:wrapPolygon edited="0">
                <wp:start x="0" y="0"/>
                <wp:lineTo x="0" y="21463"/>
                <wp:lineTo x="21549" y="21463"/>
                <wp:lineTo x="215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8-09 at 1.03.16 PM.png"/>
                    <pic:cNvPicPr/>
                  </pic:nvPicPr>
                  <pic:blipFill>
                    <a:blip r:embed="rId11">
                      <a:extLst>
                        <a:ext uri="{28A0092B-C50C-407E-A947-70E740481C1C}">
                          <a14:useLocalDpi xmlns:a14="http://schemas.microsoft.com/office/drawing/2010/main" val="0"/>
                        </a:ext>
                      </a:extLst>
                    </a:blip>
                    <a:stretch>
                      <a:fillRect/>
                    </a:stretch>
                  </pic:blipFill>
                  <pic:spPr>
                    <a:xfrm>
                      <a:off x="0" y="0"/>
                      <a:ext cx="2698750" cy="2006600"/>
                    </a:xfrm>
                    <a:prstGeom prst="rect">
                      <a:avLst/>
                    </a:prstGeom>
                  </pic:spPr>
                </pic:pic>
              </a:graphicData>
            </a:graphic>
            <wp14:sizeRelH relativeFrom="page">
              <wp14:pctWidth>0</wp14:pctWidth>
            </wp14:sizeRelH>
            <wp14:sizeRelV relativeFrom="page">
              <wp14:pctHeight>0</wp14:pctHeight>
            </wp14:sizeRelV>
          </wp:anchor>
        </w:drawing>
      </w:r>
    </w:p>
    <w:p w14:paraId="718D2647" w14:textId="297246C5" w:rsidR="004F0418" w:rsidRPr="007647B4" w:rsidRDefault="004F0418" w:rsidP="00197CD2">
      <w:pPr>
        <w:jc w:val="both"/>
        <w:rPr>
          <w:rFonts w:asciiTheme="minorHAnsi" w:hAnsiTheme="minorHAnsi" w:cstheme="minorHAnsi"/>
          <w:sz w:val="22"/>
          <w:szCs w:val="22"/>
        </w:rPr>
      </w:pPr>
      <w:r w:rsidRPr="007647B4">
        <w:rPr>
          <w:rFonts w:asciiTheme="minorHAnsi" w:hAnsiTheme="minorHAnsi" w:cstheme="minorHAnsi"/>
          <w:color w:val="000000" w:themeColor="text1"/>
          <w:sz w:val="22"/>
          <w:szCs w:val="22"/>
        </w:rPr>
        <w:t xml:space="preserve">In the United Kingdom, Freeman found </w:t>
      </w:r>
      <w:r w:rsidRPr="007647B4">
        <w:rPr>
          <w:rFonts w:asciiTheme="minorHAnsi" w:hAnsiTheme="minorHAnsi" w:cstheme="minorHAnsi"/>
          <w:color w:val="000000"/>
          <w:sz w:val="22"/>
          <w:szCs w:val="22"/>
          <w:shd w:val="clear" w:color="auto" w:fill="FFFFFF"/>
        </w:rPr>
        <w:t xml:space="preserve">high-potency cannabis use to be associated with an increased severity of dependence, especially in young people. While its profile was strongly defined by negative effects such as memory impairment and paranoia, it was also perceived as offering </w:t>
      </w:r>
      <w:r w:rsidR="009542EB" w:rsidRPr="007647B4">
        <w:rPr>
          <w:rFonts w:asciiTheme="minorHAnsi" w:hAnsiTheme="minorHAnsi" w:cstheme="minorHAnsi"/>
          <w:color w:val="000000"/>
          <w:sz w:val="22"/>
          <w:szCs w:val="22"/>
          <w:shd w:val="clear" w:color="auto" w:fill="FFFFFF"/>
        </w:rPr>
        <w:t xml:space="preserve">the </w:t>
      </w:r>
      <w:r w:rsidRPr="007647B4">
        <w:rPr>
          <w:rFonts w:asciiTheme="minorHAnsi" w:hAnsiTheme="minorHAnsi" w:cstheme="minorHAnsi"/>
          <w:color w:val="000000"/>
          <w:sz w:val="22"/>
          <w:szCs w:val="22"/>
          <w:shd w:val="clear" w:color="auto" w:fill="FFFFFF"/>
        </w:rPr>
        <w:t xml:space="preserve">“best </w:t>
      </w:r>
      <w:r w:rsidR="00237BF4" w:rsidRPr="007647B4">
        <w:rPr>
          <w:rFonts w:asciiTheme="minorHAnsi" w:hAnsiTheme="minorHAnsi" w:cstheme="minorHAnsi"/>
          <w:color w:val="000000"/>
          <w:sz w:val="22"/>
          <w:szCs w:val="22"/>
          <w:shd w:val="clear" w:color="auto" w:fill="FFFFFF"/>
        </w:rPr>
        <w:t>high” or “preferred.”</w:t>
      </w:r>
      <w:r w:rsidR="00237BF4" w:rsidRPr="007647B4">
        <w:rPr>
          <w:rStyle w:val="FootnoteReference"/>
          <w:rFonts w:asciiTheme="minorHAnsi" w:hAnsiTheme="minorHAnsi" w:cstheme="minorHAnsi"/>
          <w:color w:val="000000" w:themeColor="text1"/>
          <w:sz w:val="22"/>
          <w:szCs w:val="22"/>
        </w:rPr>
        <w:footnoteReference w:id="49"/>
      </w:r>
      <w:r w:rsidR="00237BF4" w:rsidRPr="007647B4">
        <w:rPr>
          <w:rFonts w:asciiTheme="minorHAnsi" w:hAnsiTheme="minorHAnsi" w:cstheme="minorHAnsi"/>
          <w:color w:val="000000"/>
          <w:sz w:val="22"/>
          <w:szCs w:val="22"/>
          <w:shd w:val="clear" w:color="auto" w:fill="FFFFFF"/>
        </w:rPr>
        <w:t xml:space="preserve"> </w:t>
      </w:r>
      <w:r w:rsidR="00237BF4" w:rsidRPr="007647B4">
        <w:rPr>
          <w:rFonts w:asciiTheme="minorHAnsi" w:hAnsiTheme="minorHAnsi" w:cstheme="minorHAnsi"/>
          <w:sz w:val="22"/>
          <w:szCs w:val="22"/>
        </w:rPr>
        <w:t>Published case reports have shown “</w:t>
      </w:r>
      <w:r w:rsidR="00237BF4" w:rsidRPr="007647B4">
        <w:rPr>
          <w:rFonts w:asciiTheme="minorHAnsi" w:hAnsiTheme="minorHAnsi" w:cstheme="minorHAnsi"/>
          <w:b/>
          <w:sz w:val="22"/>
          <w:szCs w:val="22"/>
        </w:rPr>
        <w:t>significant psychosis, neurotoxicity, and cardiotoxicity associated with dabs.</w:t>
      </w:r>
      <w:r w:rsidR="00237BF4" w:rsidRPr="007647B4">
        <w:rPr>
          <w:rFonts w:asciiTheme="minorHAnsi" w:hAnsiTheme="minorHAnsi" w:cstheme="minorHAnsi"/>
          <w:sz w:val="22"/>
          <w:szCs w:val="22"/>
        </w:rPr>
        <w:t>”</w:t>
      </w:r>
      <w:r w:rsidR="00237BF4" w:rsidRPr="007647B4">
        <w:rPr>
          <w:rStyle w:val="FootnoteReference"/>
          <w:rFonts w:asciiTheme="minorHAnsi" w:hAnsiTheme="minorHAnsi" w:cstheme="minorHAnsi"/>
          <w:sz w:val="22"/>
          <w:szCs w:val="22"/>
        </w:rPr>
        <w:footnoteReference w:id="50"/>
      </w:r>
      <w:r w:rsidR="00237BF4" w:rsidRPr="007647B4">
        <w:rPr>
          <w:rFonts w:asciiTheme="minorHAnsi" w:hAnsiTheme="minorHAnsi" w:cstheme="minorHAnsi"/>
          <w:sz w:val="22"/>
          <w:szCs w:val="22"/>
        </w:rPr>
        <w:t xml:space="preserve"> Concentrates are also </w:t>
      </w:r>
      <w:r w:rsidR="00237BF4" w:rsidRPr="007647B4">
        <w:rPr>
          <w:rFonts w:asciiTheme="minorHAnsi" w:hAnsiTheme="minorHAnsi" w:cstheme="minorHAnsi"/>
          <w:sz w:val="22"/>
          <w:szCs w:val="22"/>
        </w:rPr>
        <w:lastRenderedPageBreak/>
        <w:t xml:space="preserve">known to cause </w:t>
      </w:r>
      <w:r w:rsidR="00237BF4" w:rsidRPr="007647B4">
        <w:rPr>
          <w:rFonts w:asciiTheme="minorHAnsi" w:hAnsiTheme="minorHAnsi" w:cstheme="minorHAnsi"/>
          <w:color w:val="000000" w:themeColor="text1"/>
          <w:sz w:val="22"/>
          <w:szCs w:val="22"/>
        </w:rPr>
        <w:t>psychotic reactions in some and severe unpleasant highs in others.</w:t>
      </w:r>
      <w:r w:rsidR="00237BF4" w:rsidRPr="007647B4">
        <w:rPr>
          <w:rStyle w:val="FootnoteReference"/>
          <w:rFonts w:asciiTheme="minorHAnsi" w:hAnsiTheme="minorHAnsi" w:cstheme="minorHAnsi"/>
          <w:color w:val="000000" w:themeColor="text1"/>
          <w:sz w:val="22"/>
          <w:szCs w:val="22"/>
        </w:rPr>
        <w:footnoteReference w:id="51"/>
      </w:r>
      <w:r w:rsidR="00237BF4" w:rsidRPr="007647B4">
        <w:rPr>
          <w:rFonts w:asciiTheme="minorHAnsi" w:hAnsiTheme="minorHAnsi" w:cstheme="minorHAnsi"/>
          <w:color w:val="000000" w:themeColor="text1"/>
          <w:sz w:val="22"/>
          <w:szCs w:val="22"/>
        </w:rPr>
        <w:t xml:space="preserve"> Consumption of higher potency products also corresponds over time to </w:t>
      </w:r>
      <w:r w:rsidR="00237BF4" w:rsidRPr="007647B4">
        <w:rPr>
          <w:rFonts w:asciiTheme="minorHAnsi" w:hAnsiTheme="minorHAnsi" w:cstheme="minorHAnsi"/>
          <w:b/>
          <w:color w:val="000000" w:themeColor="text1"/>
          <w:sz w:val="22"/>
          <w:szCs w:val="22"/>
        </w:rPr>
        <w:t xml:space="preserve">major upsurges </w:t>
      </w:r>
      <w:r w:rsidR="00862ABB" w:rsidRPr="007647B4">
        <w:rPr>
          <w:rFonts w:asciiTheme="minorHAnsi" w:hAnsiTheme="minorHAnsi" w:cstheme="minorHAnsi"/>
          <w:b/>
          <w:color w:val="000000" w:themeColor="text1"/>
          <w:sz w:val="22"/>
          <w:szCs w:val="22"/>
        </w:rPr>
        <w:t>i</w:t>
      </w:r>
      <w:r w:rsidR="00237BF4" w:rsidRPr="007647B4">
        <w:rPr>
          <w:rFonts w:asciiTheme="minorHAnsi" w:hAnsiTheme="minorHAnsi" w:cstheme="minorHAnsi"/>
          <w:b/>
          <w:color w:val="000000" w:themeColor="text1"/>
          <w:sz w:val="22"/>
          <w:szCs w:val="22"/>
        </w:rPr>
        <w:t>n care seeking behavior for cannabis dependency</w:t>
      </w:r>
      <w:r w:rsidR="00237BF4" w:rsidRPr="007647B4">
        <w:rPr>
          <w:rFonts w:asciiTheme="minorHAnsi" w:hAnsiTheme="minorHAnsi" w:cstheme="minorHAnsi"/>
          <w:color w:val="000000" w:themeColor="text1"/>
          <w:sz w:val="22"/>
          <w:szCs w:val="22"/>
        </w:rPr>
        <w:t xml:space="preserve"> in Europe, now the leading substance of abuse for seeking care (See Figure).</w:t>
      </w:r>
      <w:r w:rsidR="00237BF4" w:rsidRPr="007647B4">
        <w:rPr>
          <w:rStyle w:val="FootnoteReference"/>
          <w:rFonts w:asciiTheme="minorHAnsi" w:hAnsiTheme="minorHAnsi" w:cstheme="minorHAnsi"/>
          <w:color w:val="000000" w:themeColor="text1"/>
          <w:sz w:val="22"/>
          <w:szCs w:val="22"/>
        </w:rPr>
        <w:footnoteReference w:id="52"/>
      </w:r>
      <w:r w:rsidR="00237BF4" w:rsidRPr="007647B4">
        <w:rPr>
          <w:rFonts w:asciiTheme="minorHAnsi" w:hAnsiTheme="minorHAnsi" w:cstheme="minorHAnsi"/>
          <w:color w:val="000000" w:themeColor="text1"/>
          <w:sz w:val="22"/>
          <w:szCs w:val="22"/>
        </w:rPr>
        <w:t xml:space="preserve"> At a time when the US is in the throes of a major opioid epidemic, and our mental health and substance abuse services are strained to bursting, it makes little sense to facilitate this dangerous trend in a new and heavily regulated industry.</w:t>
      </w:r>
      <w:r w:rsidR="00237BF4" w:rsidRPr="007647B4">
        <w:rPr>
          <w:rFonts w:asciiTheme="minorHAnsi" w:hAnsiTheme="minorHAnsi" w:cstheme="minorHAnsi"/>
          <w:noProof/>
          <w:color w:val="000000" w:themeColor="text1"/>
          <w:sz w:val="22"/>
          <w:szCs w:val="22"/>
        </w:rPr>
        <w:t xml:space="preserve"> </w:t>
      </w:r>
    </w:p>
    <w:p w14:paraId="4F025D04" w14:textId="5ED86DA6" w:rsidR="004F0418" w:rsidRPr="007647B4" w:rsidRDefault="004F0418" w:rsidP="00A549C2">
      <w:pPr>
        <w:ind w:right="-720"/>
        <w:jc w:val="both"/>
        <w:rPr>
          <w:rFonts w:asciiTheme="minorHAnsi" w:hAnsiTheme="minorHAnsi" w:cstheme="minorHAnsi"/>
          <w:color w:val="000000" w:themeColor="text1"/>
          <w:sz w:val="22"/>
          <w:szCs w:val="22"/>
        </w:rPr>
      </w:pPr>
    </w:p>
    <w:p w14:paraId="28B73999" w14:textId="1F10CD44" w:rsidR="004F0418" w:rsidRPr="007647B4" w:rsidRDefault="004F0418" w:rsidP="007647B4">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While the Netherlands tolerates cannabis sales, cannabis above 15% THC content are proposed as Schedule I.</w:t>
      </w:r>
      <w:r w:rsidRPr="007647B4">
        <w:rPr>
          <w:rStyle w:val="FootnoteReference"/>
          <w:rFonts w:asciiTheme="minorHAnsi" w:hAnsiTheme="minorHAnsi" w:cstheme="minorHAnsi"/>
          <w:color w:val="000000" w:themeColor="text1"/>
          <w:sz w:val="22"/>
          <w:szCs w:val="22"/>
        </w:rPr>
        <w:footnoteReference w:id="53"/>
      </w:r>
      <w:r w:rsidRPr="007647B4">
        <w:rPr>
          <w:rFonts w:asciiTheme="minorHAnsi" w:hAnsiTheme="minorHAnsi" w:cstheme="minorHAnsi"/>
          <w:color w:val="000000" w:themeColor="text1"/>
          <w:sz w:val="22"/>
          <w:szCs w:val="22"/>
        </w:rPr>
        <w:t xml:space="preserve"> Recent recommendations for legalization in the United Kingdom endorse restricting legalization to products below 15% THC.</w:t>
      </w:r>
      <w:r w:rsidRPr="007647B4">
        <w:rPr>
          <w:rStyle w:val="FootnoteReference"/>
          <w:rFonts w:asciiTheme="minorHAnsi" w:hAnsiTheme="minorHAnsi" w:cstheme="minorHAnsi"/>
          <w:color w:val="000000" w:themeColor="text1"/>
          <w:sz w:val="22"/>
          <w:szCs w:val="22"/>
        </w:rPr>
        <w:footnoteReference w:id="54"/>
      </w:r>
      <w:r w:rsidRPr="007647B4">
        <w:rPr>
          <w:rFonts w:asciiTheme="minorHAnsi" w:hAnsiTheme="minorHAnsi" w:cstheme="minorHAnsi"/>
          <w:color w:val="000000" w:themeColor="text1"/>
          <w:sz w:val="22"/>
          <w:szCs w:val="22"/>
        </w:rPr>
        <w:t xml:space="preserve"> Canada’s Task Force on Cannabis Legalization and Regulation recognized increasing potency as a fundamental public health challenge that needs to be addressed.</w:t>
      </w:r>
      <w:r w:rsidR="00D74832" w:rsidRPr="007647B4">
        <w:rPr>
          <w:rStyle w:val="FootnoteReference"/>
          <w:rFonts w:asciiTheme="minorHAnsi" w:hAnsiTheme="minorHAnsi" w:cstheme="minorHAnsi"/>
          <w:color w:val="000000" w:themeColor="text1"/>
          <w:sz w:val="22"/>
          <w:szCs w:val="22"/>
        </w:rPr>
        <w:footnoteReference w:id="55"/>
      </w:r>
      <w:r w:rsidRPr="007647B4">
        <w:rPr>
          <w:rFonts w:asciiTheme="minorHAnsi" w:hAnsiTheme="minorHAnsi" w:cstheme="minorHAnsi"/>
          <w:color w:val="000000" w:themeColor="text1"/>
          <w:sz w:val="22"/>
          <w:szCs w:val="22"/>
        </w:rPr>
        <w:t xml:space="preserve"> </w:t>
      </w:r>
      <w:r w:rsidR="006613D7" w:rsidRPr="007647B4">
        <w:rPr>
          <w:rFonts w:asciiTheme="minorHAnsi" w:hAnsiTheme="minorHAnsi" w:cstheme="minorHAnsi"/>
          <w:color w:val="000000" w:themeColor="text1"/>
          <w:sz w:val="22"/>
          <w:szCs w:val="22"/>
        </w:rPr>
        <w:t>New Mexico limited potency of manufactured products to 70%.</w:t>
      </w:r>
      <w:r w:rsidR="006613D7" w:rsidRPr="007647B4">
        <w:rPr>
          <w:rStyle w:val="FootnoteReference"/>
          <w:rFonts w:asciiTheme="minorHAnsi" w:hAnsiTheme="minorHAnsi" w:cstheme="minorHAnsi"/>
          <w:color w:val="000000" w:themeColor="text1"/>
          <w:sz w:val="22"/>
          <w:szCs w:val="22"/>
        </w:rPr>
        <w:footnoteReference w:id="56"/>
      </w:r>
      <w:r w:rsidR="006613D7" w:rsidRPr="007647B4">
        <w:rPr>
          <w:rFonts w:asciiTheme="minorHAnsi" w:hAnsiTheme="minorHAnsi" w:cstheme="minorHAnsi"/>
          <w:color w:val="000000" w:themeColor="text1"/>
          <w:sz w:val="22"/>
          <w:szCs w:val="22"/>
        </w:rPr>
        <w:t xml:space="preserve"> Inexplicably, the regulatory framework under development in California has completely omitted any effort to, or even discussion of how to, address this important challenge to date.</w:t>
      </w:r>
    </w:p>
    <w:p w14:paraId="18295F94" w14:textId="77777777" w:rsidR="004F0418" w:rsidRPr="007647B4" w:rsidRDefault="004F0418" w:rsidP="007647B4">
      <w:pPr>
        <w:jc w:val="both"/>
        <w:rPr>
          <w:rFonts w:asciiTheme="minorHAnsi" w:hAnsiTheme="minorHAnsi" w:cstheme="minorHAnsi"/>
          <w:color w:val="000000" w:themeColor="text1"/>
          <w:sz w:val="22"/>
          <w:szCs w:val="22"/>
        </w:rPr>
      </w:pPr>
    </w:p>
    <w:p w14:paraId="06445EB3" w14:textId="594D48B3" w:rsidR="004F0418" w:rsidRPr="007647B4" w:rsidRDefault="004F0418" w:rsidP="007647B4">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As the lead agency responsible for regulating </w:t>
      </w:r>
      <w:r w:rsidR="006613D7" w:rsidRPr="007647B4">
        <w:rPr>
          <w:rFonts w:asciiTheme="minorHAnsi" w:hAnsiTheme="minorHAnsi" w:cstheme="minorHAnsi"/>
          <w:color w:val="000000" w:themeColor="text1"/>
          <w:sz w:val="22"/>
          <w:szCs w:val="22"/>
        </w:rPr>
        <w:t>manufacturing</w:t>
      </w:r>
      <w:r w:rsidRPr="007647B4">
        <w:rPr>
          <w:rFonts w:asciiTheme="minorHAnsi" w:hAnsiTheme="minorHAnsi" w:cstheme="minorHAnsi"/>
          <w:color w:val="000000" w:themeColor="text1"/>
          <w:sz w:val="22"/>
          <w:szCs w:val="22"/>
        </w:rPr>
        <w:t xml:space="preserve"> in the State of Califo</w:t>
      </w:r>
      <w:r w:rsidR="006613D7" w:rsidRPr="007647B4">
        <w:rPr>
          <w:rFonts w:asciiTheme="minorHAnsi" w:hAnsiTheme="minorHAnsi" w:cstheme="minorHAnsi"/>
          <w:color w:val="000000" w:themeColor="text1"/>
          <w:sz w:val="22"/>
          <w:szCs w:val="22"/>
        </w:rPr>
        <w:t>rnia, it is essential that CDPH</w:t>
      </w:r>
      <w:r w:rsidRPr="007647B4">
        <w:rPr>
          <w:rFonts w:asciiTheme="minorHAnsi" w:hAnsiTheme="minorHAnsi" w:cstheme="minorHAnsi"/>
          <w:color w:val="000000" w:themeColor="text1"/>
          <w:sz w:val="22"/>
          <w:szCs w:val="22"/>
        </w:rPr>
        <w:t xml:space="preserve"> act now to slow this rapid and dangerous trend. While there is still much debate about the best approach to be used, for example optimal potency maxima </w:t>
      </w:r>
      <w:r w:rsidRPr="007647B4">
        <w:rPr>
          <w:rFonts w:asciiTheme="minorHAnsi" w:hAnsiTheme="minorHAnsi" w:cstheme="minorHAnsi"/>
          <w:i/>
          <w:color w:val="000000" w:themeColor="text1"/>
          <w:sz w:val="22"/>
          <w:szCs w:val="22"/>
        </w:rPr>
        <w:t>versus</w:t>
      </w:r>
      <w:r w:rsidRPr="007647B4">
        <w:rPr>
          <w:rFonts w:asciiTheme="minorHAnsi" w:hAnsiTheme="minorHAnsi" w:cstheme="minorHAnsi"/>
          <w:color w:val="000000" w:themeColor="text1"/>
          <w:sz w:val="22"/>
          <w:szCs w:val="22"/>
        </w:rPr>
        <w:t xml:space="preserve"> taxation policy, the policy of doing nothing, in use to date, has clearly not been successful. We recommend that the State contract with the University of California Office of the President to bring together an expert panel to produce a study of the public health risks of increasing cannabis potency, decreasing </w:t>
      </w:r>
      <w:proofErr w:type="gramStart"/>
      <w:r w:rsidRPr="007647B4">
        <w:rPr>
          <w:rFonts w:asciiTheme="minorHAnsi" w:hAnsiTheme="minorHAnsi" w:cstheme="minorHAnsi"/>
          <w:color w:val="000000" w:themeColor="text1"/>
          <w:sz w:val="22"/>
          <w:szCs w:val="22"/>
        </w:rPr>
        <w:t>THC:CBD</w:t>
      </w:r>
      <w:proofErr w:type="gramEnd"/>
      <w:r w:rsidR="009542EB"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as well a</w:t>
      </w:r>
      <w:r w:rsidR="009542EB" w:rsidRPr="007647B4">
        <w:rPr>
          <w:rFonts w:asciiTheme="minorHAnsi" w:hAnsiTheme="minorHAnsi" w:cstheme="minorHAnsi"/>
          <w:color w:val="000000" w:themeColor="text1"/>
          <w:sz w:val="22"/>
          <w:szCs w:val="22"/>
        </w:rPr>
        <w:t>s of flavored cannabis products</w:t>
      </w:r>
      <w:r w:rsidRPr="007647B4">
        <w:rPr>
          <w:rFonts w:asciiTheme="minorHAnsi" w:hAnsiTheme="minorHAnsi" w:cstheme="minorHAnsi"/>
          <w:color w:val="000000" w:themeColor="text1"/>
          <w:sz w:val="22"/>
          <w:szCs w:val="22"/>
        </w:rPr>
        <w:t>,</w:t>
      </w:r>
      <w:r w:rsidR="00DA6B6F"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 xml:space="preserve">and </w:t>
      </w:r>
      <w:r w:rsidR="00862ABB" w:rsidRPr="007647B4">
        <w:rPr>
          <w:rFonts w:asciiTheme="minorHAnsi" w:hAnsiTheme="minorHAnsi" w:cstheme="minorHAnsi"/>
          <w:color w:val="000000" w:themeColor="text1"/>
          <w:sz w:val="22"/>
          <w:szCs w:val="22"/>
        </w:rPr>
        <w:t xml:space="preserve">an </w:t>
      </w:r>
      <w:r w:rsidRPr="007647B4">
        <w:rPr>
          <w:rFonts w:asciiTheme="minorHAnsi" w:hAnsiTheme="minorHAnsi" w:cstheme="minorHAnsi"/>
          <w:color w:val="000000" w:themeColor="text1"/>
          <w:sz w:val="22"/>
          <w:szCs w:val="22"/>
        </w:rPr>
        <w:t>analysis of regulatory and fiscal</w:t>
      </w:r>
      <w:r w:rsidR="00DA6B6F"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options</w:t>
      </w:r>
      <w:r w:rsidR="00DA6B6F"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to address these issues by</w:t>
      </w:r>
      <w:r w:rsidR="00DA6B6F"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mid-2019.</w:t>
      </w:r>
      <w:r w:rsidR="00DA6B6F"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 xml:space="preserve">Until such time as that assessment is available, we strongly recommend a limit on the potency of allowable cannabis for </w:t>
      </w:r>
      <w:r w:rsidR="006613D7" w:rsidRPr="007647B4">
        <w:rPr>
          <w:rFonts w:asciiTheme="minorHAnsi" w:hAnsiTheme="minorHAnsi" w:cstheme="minorHAnsi"/>
          <w:color w:val="000000" w:themeColor="text1"/>
          <w:sz w:val="22"/>
          <w:szCs w:val="22"/>
        </w:rPr>
        <w:t>use as</w:t>
      </w:r>
      <w:r w:rsidR="00232715"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flower or pre-rolls to below 20% THC content</w:t>
      </w:r>
      <w:r w:rsidR="006613D7" w:rsidRPr="007647B4">
        <w:rPr>
          <w:rFonts w:asciiTheme="minorHAnsi" w:hAnsiTheme="minorHAnsi" w:cstheme="minorHAnsi"/>
          <w:color w:val="000000" w:themeColor="text1"/>
          <w:sz w:val="22"/>
          <w:szCs w:val="22"/>
        </w:rPr>
        <w:t>, and of concentrates to 50% THC or below</w:t>
      </w:r>
      <w:r w:rsidRPr="007647B4">
        <w:rPr>
          <w:rFonts w:asciiTheme="minorHAnsi" w:hAnsiTheme="minorHAnsi" w:cstheme="minorHAnsi"/>
          <w:color w:val="000000" w:themeColor="text1"/>
          <w:sz w:val="22"/>
          <w:szCs w:val="22"/>
        </w:rPr>
        <w:t xml:space="preserve">. </w:t>
      </w:r>
    </w:p>
    <w:p w14:paraId="1B73D80C" w14:textId="77777777" w:rsidR="006613D7" w:rsidRPr="007647B4" w:rsidRDefault="006613D7" w:rsidP="00232715">
      <w:pPr>
        <w:jc w:val="both"/>
        <w:rPr>
          <w:rFonts w:asciiTheme="minorHAnsi" w:hAnsiTheme="minorHAnsi" w:cstheme="minorHAnsi"/>
          <w:color w:val="000000" w:themeColor="text1"/>
          <w:sz w:val="22"/>
          <w:szCs w:val="22"/>
        </w:rPr>
      </w:pPr>
    </w:p>
    <w:p w14:paraId="6AA87AF4" w14:textId="2011C7F0" w:rsidR="003A6D45" w:rsidRPr="007647B4" w:rsidRDefault="003A6D45" w:rsidP="00232715">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ab/>
      </w:r>
      <w:r w:rsidR="000B7EE5" w:rsidRPr="007647B4">
        <w:rPr>
          <w:rFonts w:asciiTheme="minorHAnsi" w:hAnsiTheme="minorHAnsi" w:cstheme="minorHAnsi"/>
          <w:b/>
          <w:color w:val="000000" w:themeColor="text1"/>
          <w:sz w:val="22"/>
          <w:szCs w:val="22"/>
        </w:rPr>
        <w:t>1.b</w:t>
      </w:r>
      <w:r w:rsidR="002F3B3D" w:rsidRPr="007647B4">
        <w:rPr>
          <w:rFonts w:asciiTheme="minorHAnsi" w:hAnsiTheme="minorHAnsi" w:cstheme="minorHAnsi"/>
          <w:b/>
          <w:color w:val="000000" w:themeColor="text1"/>
          <w:sz w:val="22"/>
          <w:szCs w:val="22"/>
        </w:rPr>
        <w:t>.</w:t>
      </w:r>
      <w:r w:rsidR="00316817" w:rsidRPr="007647B4">
        <w:rPr>
          <w:rFonts w:asciiTheme="minorHAnsi" w:hAnsiTheme="minorHAnsi" w:cstheme="minorHAnsi"/>
          <w:b/>
          <w:color w:val="000000" w:themeColor="text1"/>
          <w:sz w:val="22"/>
          <w:szCs w:val="22"/>
        </w:rPr>
        <w:t>) Non-edible products employing characterizing flavors</w:t>
      </w:r>
      <w:r w:rsidR="006613D7" w:rsidRPr="007647B4">
        <w:rPr>
          <w:rFonts w:asciiTheme="minorHAnsi" w:hAnsiTheme="minorHAnsi" w:cstheme="minorHAnsi"/>
          <w:b/>
          <w:color w:val="000000" w:themeColor="text1"/>
          <w:sz w:val="22"/>
          <w:szCs w:val="22"/>
        </w:rPr>
        <w:t xml:space="preserve"> known to be attractive to youth</w:t>
      </w:r>
    </w:p>
    <w:p w14:paraId="7D1F1331" w14:textId="77777777" w:rsidR="003A6D45" w:rsidRPr="007647B4" w:rsidRDefault="003A6D45" w:rsidP="00232715">
      <w:pPr>
        <w:jc w:val="both"/>
        <w:rPr>
          <w:rFonts w:asciiTheme="minorHAnsi" w:hAnsiTheme="minorHAnsi" w:cstheme="minorHAnsi"/>
          <w:color w:val="000000" w:themeColor="text1"/>
          <w:sz w:val="22"/>
          <w:szCs w:val="22"/>
        </w:rPr>
      </w:pPr>
    </w:p>
    <w:p w14:paraId="44315E9C" w14:textId="653009E4" w:rsidR="004F0418" w:rsidRPr="007647B4" w:rsidRDefault="006613D7" w:rsidP="00232715">
      <w:pPr>
        <w:jc w:val="both"/>
        <w:rPr>
          <w:rFonts w:asciiTheme="minorHAnsi" w:hAnsiTheme="minorHAnsi" w:cstheme="minorHAnsi"/>
          <w:b/>
          <w:color w:val="000000" w:themeColor="text1"/>
          <w:sz w:val="22"/>
          <w:szCs w:val="22"/>
        </w:rPr>
      </w:pPr>
      <w:r w:rsidRPr="007647B4">
        <w:rPr>
          <w:rFonts w:asciiTheme="minorHAnsi" w:hAnsiTheme="minorHAnsi" w:cstheme="minorHAnsi"/>
          <w:color w:val="000000" w:themeColor="text1"/>
          <w:sz w:val="22"/>
          <w:szCs w:val="22"/>
        </w:rPr>
        <w:t>We recommend p</w:t>
      </w:r>
      <w:r w:rsidR="00316817" w:rsidRPr="007647B4">
        <w:rPr>
          <w:rFonts w:asciiTheme="minorHAnsi" w:hAnsiTheme="minorHAnsi" w:cstheme="minorHAnsi"/>
          <w:color w:val="000000" w:themeColor="text1"/>
          <w:sz w:val="22"/>
          <w:szCs w:val="22"/>
        </w:rPr>
        <w:t>rohibit</w:t>
      </w:r>
      <w:r w:rsidRPr="007647B4">
        <w:rPr>
          <w:rFonts w:asciiTheme="minorHAnsi" w:hAnsiTheme="minorHAnsi" w:cstheme="minorHAnsi"/>
          <w:color w:val="000000" w:themeColor="text1"/>
          <w:sz w:val="22"/>
          <w:szCs w:val="22"/>
        </w:rPr>
        <w:t>ing</w:t>
      </w:r>
      <w:r w:rsidR="00316817" w:rsidRPr="007647B4">
        <w:rPr>
          <w:rFonts w:asciiTheme="minorHAnsi" w:hAnsiTheme="minorHAnsi" w:cstheme="minorHAnsi"/>
          <w:color w:val="000000" w:themeColor="text1"/>
          <w:sz w:val="22"/>
          <w:szCs w:val="22"/>
        </w:rPr>
        <w:t xml:space="preserve"> the addition of menthol and other characterizing flavors in non-topical and non-edible products. The proposed regulations (§ 40300(b)) prohibit additives that "increase potency, toxicity or addictive potential.”</w:t>
      </w:r>
      <w:r w:rsidR="0022627A" w:rsidRPr="007647B4">
        <w:rPr>
          <w:rFonts w:asciiTheme="minorHAnsi" w:hAnsiTheme="minorHAnsi" w:cstheme="minorHAnsi"/>
          <w:color w:val="000000" w:themeColor="text1"/>
          <w:sz w:val="22"/>
          <w:szCs w:val="22"/>
        </w:rPr>
        <w:t xml:space="preserve"> </w:t>
      </w:r>
      <w:r w:rsidR="0022627A" w:rsidRPr="007647B4">
        <w:rPr>
          <w:rFonts w:asciiTheme="minorHAnsi" w:hAnsiTheme="minorHAnsi" w:cstheme="minorHAnsi"/>
          <w:b/>
          <w:color w:val="000000" w:themeColor="text1"/>
          <w:sz w:val="22"/>
          <w:szCs w:val="22"/>
        </w:rPr>
        <w:t xml:space="preserve">CDPH should </w:t>
      </w:r>
      <w:r w:rsidR="009542EB" w:rsidRPr="007647B4">
        <w:rPr>
          <w:rFonts w:asciiTheme="minorHAnsi" w:hAnsiTheme="minorHAnsi" w:cstheme="minorHAnsi"/>
          <w:b/>
          <w:color w:val="000000" w:themeColor="text1"/>
          <w:sz w:val="22"/>
          <w:szCs w:val="22"/>
        </w:rPr>
        <w:t xml:space="preserve">add “attraction to children and youth” to these criteria, and </w:t>
      </w:r>
      <w:r w:rsidR="0022627A" w:rsidRPr="007647B4">
        <w:rPr>
          <w:rFonts w:asciiTheme="minorHAnsi" w:hAnsiTheme="minorHAnsi" w:cstheme="minorHAnsi"/>
          <w:b/>
          <w:color w:val="000000" w:themeColor="text1"/>
          <w:sz w:val="22"/>
          <w:szCs w:val="22"/>
        </w:rPr>
        <w:t>broaden its interpretation to include all flavor additive</w:t>
      </w:r>
      <w:r w:rsidR="004F0418" w:rsidRPr="007647B4">
        <w:rPr>
          <w:rFonts w:asciiTheme="minorHAnsi" w:hAnsiTheme="minorHAnsi" w:cstheme="minorHAnsi"/>
          <w:b/>
          <w:color w:val="000000" w:themeColor="text1"/>
          <w:sz w:val="22"/>
          <w:szCs w:val="22"/>
        </w:rPr>
        <w:t>s</w:t>
      </w:r>
      <w:r w:rsidR="0022627A" w:rsidRPr="007647B4">
        <w:rPr>
          <w:rFonts w:asciiTheme="minorHAnsi" w:hAnsiTheme="minorHAnsi" w:cstheme="minorHAnsi"/>
          <w:b/>
          <w:color w:val="000000" w:themeColor="text1"/>
          <w:sz w:val="22"/>
          <w:szCs w:val="22"/>
        </w:rPr>
        <w:t>, including</w:t>
      </w:r>
      <w:r w:rsidR="00862ABB" w:rsidRPr="007647B4">
        <w:rPr>
          <w:rFonts w:asciiTheme="minorHAnsi" w:hAnsiTheme="minorHAnsi" w:cstheme="minorHAnsi"/>
          <w:b/>
          <w:color w:val="000000" w:themeColor="text1"/>
          <w:sz w:val="22"/>
          <w:szCs w:val="22"/>
        </w:rPr>
        <w:t>,</w:t>
      </w:r>
      <w:r w:rsidR="0022627A" w:rsidRPr="007647B4">
        <w:rPr>
          <w:rFonts w:asciiTheme="minorHAnsi" w:hAnsiTheme="minorHAnsi" w:cstheme="minorHAnsi"/>
          <w:b/>
          <w:color w:val="000000" w:themeColor="text1"/>
          <w:sz w:val="22"/>
          <w:szCs w:val="22"/>
        </w:rPr>
        <w:t xml:space="preserve"> but not limited to</w:t>
      </w:r>
      <w:r w:rsidR="00862ABB" w:rsidRPr="007647B4">
        <w:rPr>
          <w:rFonts w:asciiTheme="minorHAnsi" w:hAnsiTheme="minorHAnsi" w:cstheme="minorHAnsi"/>
          <w:b/>
          <w:color w:val="000000" w:themeColor="text1"/>
          <w:sz w:val="22"/>
          <w:szCs w:val="22"/>
        </w:rPr>
        <w:t>,</w:t>
      </w:r>
      <w:r w:rsidR="0022627A" w:rsidRPr="007647B4">
        <w:rPr>
          <w:rFonts w:asciiTheme="minorHAnsi" w:hAnsiTheme="minorHAnsi" w:cstheme="minorHAnsi"/>
          <w:b/>
          <w:color w:val="000000" w:themeColor="text1"/>
          <w:sz w:val="22"/>
          <w:szCs w:val="22"/>
        </w:rPr>
        <w:t xml:space="preserve"> menthol, in non-edible and non-topical products.</w:t>
      </w:r>
    </w:p>
    <w:p w14:paraId="7872C339" w14:textId="77777777" w:rsidR="004F0418" w:rsidRPr="007647B4" w:rsidRDefault="004F0418" w:rsidP="00232715">
      <w:pPr>
        <w:jc w:val="both"/>
        <w:rPr>
          <w:rFonts w:asciiTheme="minorHAnsi" w:hAnsiTheme="minorHAnsi" w:cstheme="minorHAnsi"/>
          <w:b/>
          <w:color w:val="000000" w:themeColor="text1"/>
          <w:sz w:val="22"/>
          <w:szCs w:val="22"/>
        </w:rPr>
      </w:pPr>
    </w:p>
    <w:p w14:paraId="1C99D112" w14:textId="0545B286" w:rsidR="00316817" w:rsidRPr="007647B4" w:rsidRDefault="00316817" w:rsidP="00232715">
      <w:pPr>
        <w:jc w:val="both"/>
        <w:rPr>
          <w:rFonts w:asciiTheme="minorHAnsi" w:hAnsiTheme="minorHAnsi" w:cstheme="minorHAnsi"/>
          <w:b/>
          <w:color w:val="000000" w:themeColor="text1"/>
          <w:sz w:val="22"/>
          <w:szCs w:val="22"/>
        </w:rPr>
      </w:pPr>
      <w:r w:rsidRPr="007647B4">
        <w:rPr>
          <w:rFonts w:asciiTheme="minorHAnsi" w:hAnsiTheme="minorHAnsi" w:cstheme="minorHAnsi"/>
          <w:color w:val="000000" w:themeColor="text1"/>
          <w:sz w:val="22"/>
          <w:szCs w:val="22"/>
        </w:rPr>
        <w:t>In tobacco products, menthol is more than a flavoring agent. Menthol affects nicotine dependence through behavioral reinforcement</w:t>
      </w:r>
      <w:r w:rsidR="00D74832" w:rsidRPr="007647B4">
        <w:rPr>
          <w:rStyle w:val="FootnoteReference"/>
          <w:rFonts w:asciiTheme="minorHAnsi" w:hAnsiTheme="minorHAnsi" w:cstheme="minorHAnsi"/>
          <w:color w:val="000000" w:themeColor="text1"/>
          <w:sz w:val="22"/>
          <w:szCs w:val="22"/>
        </w:rPr>
        <w:footnoteReference w:id="57"/>
      </w:r>
      <w:r w:rsidRPr="007647B4">
        <w:rPr>
          <w:rFonts w:asciiTheme="minorHAnsi" w:hAnsiTheme="minorHAnsi" w:cstheme="minorHAnsi"/>
          <w:color w:val="000000" w:themeColor="text1"/>
          <w:sz w:val="22"/>
          <w:szCs w:val="22"/>
        </w:rPr>
        <w:t xml:space="preserve"> and encouragement of breath holding, which increases nicotine exposure</w:t>
      </w:r>
      <w:r w:rsidR="00753566" w:rsidRPr="007647B4">
        <w:rPr>
          <w:rFonts w:asciiTheme="minorHAnsi" w:hAnsiTheme="minorHAnsi" w:cstheme="minorHAnsi"/>
          <w:color w:val="000000" w:themeColor="text1"/>
          <w:sz w:val="22"/>
          <w:szCs w:val="22"/>
        </w:rPr>
        <w:t>.</w:t>
      </w:r>
      <w:r w:rsidR="00753566" w:rsidRPr="007647B4">
        <w:rPr>
          <w:rStyle w:val="FootnoteReference"/>
          <w:rFonts w:asciiTheme="minorHAnsi" w:hAnsiTheme="minorHAnsi" w:cstheme="minorHAnsi"/>
          <w:color w:val="000000" w:themeColor="text1"/>
          <w:sz w:val="22"/>
          <w:szCs w:val="22"/>
        </w:rPr>
        <w:footnoteReference w:id="58"/>
      </w:r>
      <w:r w:rsidRPr="007647B4">
        <w:rPr>
          <w:rFonts w:asciiTheme="minorHAnsi" w:hAnsiTheme="minorHAnsi" w:cstheme="minorHAnsi"/>
          <w:color w:val="000000" w:themeColor="text1"/>
          <w:sz w:val="22"/>
          <w:szCs w:val="22"/>
        </w:rPr>
        <w:t xml:space="preserve"> Stimulated by industry marketing, younger and newer smokers disproportionately use </w:t>
      </w:r>
      <w:r w:rsidRPr="007647B4">
        <w:rPr>
          <w:rFonts w:asciiTheme="minorHAnsi" w:hAnsiTheme="minorHAnsi" w:cstheme="minorHAnsi"/>
          <w:color w:val="000000" w:themeColor="text1"/>
          <w:sz w:val="22"/>
          <w:szCs w:val="22"/>
        </w:rPr>
        <w:lastRenderedPageBreak/>
        <w:t>menthol cigarettes, drawn to the reduced harshness menthol contributes as a local anesthetic</w:t>
      </w:r>
      <w:r w:rsidR="00670769" w:rsidRPr="007647B4">
        <w:rPr>
          <w:rFonts w:asciiTheme="minorHAnsi" w:hAnsiTheme="minorHAnsi" w:cstheme="minorHAnsi"/>
          <w:color w:val="000000" w:themeColor="text1"/>
          <w:sz w:val="22"/>
          <w:szCs w:val="22"/>
        </w:rPr>
        <w:t>.</w:t>
      </w:r>
      <w:r w:rsidR="00670769" w:rsidRPr="007647B4">
        <w:rPr>
          <w:rStyle w:val="FootnoteReference"/>
          <w:rFonts w:asciiTheme="minorHAnsi" w:hAnsiTheme="minorHAnsi" w:cstheme="minorHAnsi"/>
          <w:color w:val="000000" w:themeColor="text1"/>
          <w:sz w:val="22"/>
          <w:szCs w:val="22"/>
        </w:rPr>
        <w:footnoteReference w:id="59"/>
      </w:r>
      <w:r w:rsidR="00E92CE0" w:rsidRPr="007647B4">
        <w:rPr>
          <w:rFonts w:asciiTheme="minorHAnsi" w:hAnsiTheme="minorHAnsi" w:cstheme="minorHAnsi"/>
          <w:color w:val="000000" w:themeColor="text1"/>
          <w:sz w:val="22"/>
          <w:szCs w:val="22"/>
          <w:vertAlign w:val="superscript"/>
        </w:rPr>
        <w:t>,</w:t>
      </w:r>
      <w:r w:rsidR="00670769" w:rsidRPr="007647B4">
        <w:rPr>
          <w:rStyle w:val="FootnoteReference"/>
          <w:rFonts w:asciiTheme="minorHAnsi" w:hAnsiTheme="minorHAnsi" w:cstheme="minorHAnsi"/>
          <w:color w:val="000000" w:themeColor="text1"/>
          <w:sz w:val="22"/>
          <w:szCs w:val="22"/>
        </w:rPr>
        <w:footnoteReference w:id="60"/>
      </w:r>
      <w:r w:rsidRPr="007647B4">
        <w:rPr>
          <w:rFonts w:asciiTheme="minorHAnsi" w:hAnsiTheme="minorHAnsi" w:cstheme="minorHAnsi"/>
          <w:color w:val="000000" w:themeColor="text1"/>
          <w:sz w:val="22"/>
          <w:szCs w:val="22"/>
        </w:rPr>
        <w:t xml:space="preserve"> Menthol contributes to the inequitable tobacco burden on the health of African-American smokers, who disproportionately smoke menthol cigarettes and have higher rates of tobacco-related diseases despite smoking fewer cigarettes per day and initiating smoking later</w:t>
      </w:r>
      <w:r w:rsidR="00670769" w:rsidRPr="007647B4">
        <w:rPr>
          <w:rFonts w:asciiTheme="minorHAnsi" w:hAnsiTheme="minorHAnsi" w:cstheme="minorHAnsi"/>
          <w:color w:val="000000" w:themeColor="text1"/>
          <w:sz w:val="22"/>
          <w:szCs w:val="22"/>
        </w:rPr>
        <w:t>.</w:t>
      </w:r>
      <w:r w:rsidR="00670769" w:rsidRPr="007647B4">
        <w:rPr>
          <w:rStyle w:val="FootnoteReference"/>
          <w:rFonts w:asciiTheme="minorHAnsi" w:hAnsiTheme="minorHAnsi" w:cstheme="minorHAnsi"/>
          <w:color w:val="000000" w:themeColor="text1"/>
          <w:sz w:val="22"/>
          <w:szCs w:val="22"/>
        </w:rPr>
        <w:footnoteReference w:id="61"/>
      </w:r>
      <w:r w:rsidR="00E92CE0" w:rsidRPr="007647B4">
        <w:rPr>
          <w:rFonts w:asciiTheme="minorHAnsi" w:hAnsiTheme="minorHAnsi" w:cstheme="minorHAnsi"/>
          <w:color w:val="000000" w:themeColor="text1"/>
          <w:sz w:val="22"/>
          <w:szCs w:val="22"/>
          <w:vertAlign w:val="superscript"/>
        </w:rPr>
        <w:t>,</w:t>
      </w:r>
      <w:r w:rsidR="00670769" w:rsidRPr="007647B4">
        <w:rPr>
          <w:rStyle w:val="FootnoteReference"/>
          <w:rFonts w:asciiTheme="minorHAnsi" w:hAnsiTheme="minorHAnsi" w:cstheme="minorHAnsi"/>
          <w:color w:val="000000" w:themeColor="text1"/>
          <w:sz w:val="22"/>
          <w:szCs w:val="22"/>
        </w:rPr>
        <w:footnoteReference w:id="62"/>
      </w:r>
      <w:r w:rsidRPr="007647B4">
        <w:rPr>
          <w:rFonts w:asciiTheme="minorHAnsi" w:hAnsiTheme="minorHAnsi" w:cstheme="minorHAnsi"/>
          <w:color w:val="000000" w:themeColor="text1"/>
          <w:sz w:val="22"/>
          <w:szCs w:val="22"/>
        </w:rPr>
        <w:t xml:space="preserve"> Menthol use is more common among groups targeted by the tobacco industry, including youth of color, women, and LGBTQ populations</w:t>
      </w:r>
      <w:r w:rsidR="00761832" w:rsidRPr="007647B4">
        <w:rPr>
          <w:rFonts w:asciiTheme="minorHAnsi" w:hAnsiTheme="minorHAnsi" w:cstheme="minorHAnsi"/>
          <w:color w:val="000000" w:themeColor="text1"/>
          <w:sz w:val="22"/>
          <w:szCs w:val="22"/>
        </w:rPr>
        <w:t>.</w:t>
      </w:r>
      <w:r w:rsidR="00761832" w:rsidRPr="007647B4">
        <w:rPr>
          <w:rStyle w:val="FootnoteReference"/>
          <w:rFonts w:asciiTheme="minorHAnsi" w:hAnsiTheme="minorHAnsi" w:cstheme="minorHAnsi"/>
          <w:color w:val="000000" w:themeColor="text1"/>
          <w:sz w:val="22"/>
          <w:szCs w:val="22"/>
        </w:rPr>
        <w:footnoteReference w:id="63"/>
      </w:r>
      <w:r w:rsidRPr="007647B4">
        <w:rPr>
          <w:rFonts w:asciiTheme="minorHAnsi" w:hAnsiTheme="minorHAnsi" w:cstheme="minorHAnsi"/>
          <w:color w:val="000000" w:themeColor="text1"/>
          <w:sz w:val="22"/>
          <w:szCs w:val="22"/>
        </w:rPr>
        <w:t xml:space="preserve"> Menthol smokers, especially persons of color and younger smokers, also experience more difficulty quitting</w:t>
      </w:r>
      <w:r w:rsidR="00761832" w:rsidRPr="007647B4">
        <w:rPr>
          <w:rFonts w:asciiTheme="minorHAnsi" w:hAnsiTheme="minorHAnsi" w:cstheme="minorHAnsi"/>
          <w:color w:val="000000" w:themeColor="text1"/>
          <w:sz w:val="22"/>
          <w:szCs w:val="22"/>
        </w:rPr>
        <w:t>.</w:t>
      </w:r>
      <w:r w:rsidR="00761832" w:rsidRPr="007647B4">
        <w:rPr>
          <w:rStyle w:val="FootnoteReference"/>
          <w:rFonts w:asciiTheme="minorHAnsi" w:hAnsiTheme="minorHAnsi" w:cstheme="minorHAnsi"/>
          <w:color w:val="000000" w:themeColor="text1"/>
          <w:sz w:val="22"/>
          <w:szCs w:val="22"/>
        </w:rPr>
        <w:footnoteReference w:id="64"/>
      </w:r>
      <w:r w:rsidRPr="007647B4">
        <w:rPr>
          <w:rFonts w:asciiTheme="minorHAnsi" w:hAnsiTheme="minorHAnsi" w:cstheme="minorHAnsi"/>
          <w:color w:val="000000" w:themeColor="text1"/>
          <w:sz w:val="22"/>
          <w:szCs w:val="22"/>
        </w:rPr>
        <w:t xml:space="preserve"> </w:t>
      </w:r>
      <w:r w:rsidR="0022627A" w:rsidRPr="007647B4">
        <w:rPr>
          <w:rFonts w:asciiTheme="minorHAnsi" w:hAnsiTheme="minorHAnsi" w:cstheme="minorHAnsi"/>
          <w:b/>
          <w:color w:val="000000" w:themeColor="text1"/>
          <w:sz w:val="22"/>
          <w:szCs w:val="22"/>
        </w:rPr>
        <w:t>CDPH should act to prevent the repetition of these harms and inequities in the cannabis market.</w:t>
      </w:r>
    </w:p>
    <w:p w14:paraId="5344A6CF" w14:textId="53F65E1A" w:rsidR="00316817" w:rsidRPr="007647B4" w:rsidRDefault="00316817" w:rsidP="00232715">
      <w:pPr>
        <w:jc w:val="both"/>
        <w:rPr>
          <w:rFonts w:asciiTheme="minorHAnsi" w:hAnsiTheme="minorHAnsi" w:cstheme="minorHAnsi"/>
          <w:color w:val="000000" w:themeColor="text1"/>
          <w:sz w:val="22"/>
          <w:szCs w:val="22"/>
        </w:rPr>
      </w:pPr>
    </w:p>
    <w:p w14:paraId="3A199B3F" w14:textId="7EF86982" w:rsidR="00316817" w:rsidRPr="007647B4" w:rsidRDefault="00316817" w:rsidP="00232715">
      <w:pPr>
        <w:jc w:val="both"/>
        <w:rPr>
          <w:rFonts w:asciiTheme="minorHAnsi" w:hAnsiTheme="minorHAnsi" w:cstheme="minorHAnsi"/>
          <w:b/>
          <w:color w:val="000000" w:themeColor="text1"/>
          <w:sz w:val="22"/>
          <w:szCs w:val="22"/>
        </w:rPr>
      </w:pPr>
      <w:r w:rsidRPr="007647B4">
        <w:rPr>
          <w:rFonts w:asciiTheme="minorHAnsi" w:hAnsiTheme="minorHAnsi" w:cstheme="minorHAnsi"/>
          <w:color w:val="000000" w:themeColor="text1"/>
          <w:sz w:val="22"/>
          <w:szCs w:val="22"/>
        </w:rPr>
        <w:t>Menthol cigarette smokers are more likely than non-menthol smokers to report past 30-day cannabis use</w:t>
      </w:r>
      <w:r w:rsidR="00761832" w:rsidRPr="007647B4">
        <w:rPr>
          <w:rFonts w:asciiTheme="minorHAnsi" w:hAnsiTheme="minorHAnsi" w:cstheme="minorHAnsi"/>
          <w:color w:val="000000" w:themeColor="text1"/>
          <w:sz w:val="22"/>
          <w:szCs w:val="22"/>
        </w:rPr>
        <w:t>.</w:t>
      </w:r>
      <w:r w:rsidR="00761832" w:rsidRPr="007647B4">
        <w:rPr>
          <w:rStyle w:val="FootnoteReference"/>
          <w:rFonts w:asciiTheme="minorHAnsi" w:hAnsiTheme="minorHAnsi" w:cstheme="minorHAnsi"/>
          <w:color w:val="000000" w:themeColor="text1"/>
          <w:sz w:val="22"/>
          <w:szCs w:val="22"/>
        </w:rPr>
        <w:footnoteReference w:id="65"/>
      </w:r>
      <w:r w:rsidRPr="007647B4">
        <w:rPr>
          <w:rFonts w:asciiTheme="minorHAnsi" w:hAnsiTheme="minorHAnsi" w:cstheme="minorHAnsi"/>
          <w:color w:val="000000" w:themeColor="text1"/>
          <w:sz w:val="22"/>
          <w:szCs w:val="22"/>
        </w:rPr>
        <w:t xml:space="preserve"> Dual use of menthol cigarettes and cannabis also increased from 2005-2014</w:t>
      </w:r>
      <w:r w:rsidR="00761832" w:rsidRPr="007647B4">
        <w:rPr>
          <w:rFonts w:asciiTheme="minorHAnsi" w:hAnsiTheme="minorHAnsi" w:cstheme="minorHAnsi"/>
          <w:color w:val="000000" w:themeColor="text1"/>
          <w:sz w:val="22"/>
          <w:szCs w:val="22"/>
        </w:rPr>
        <w:t>.</w:t>
      </w:r>
      <w:r w:rsidR="00761832" w:rsidRPr="007647B4">
        <w:rPr>
          <w:rStyle w:val="FootnoteReference"/>
          <w:rFonts w:asciiTheme="minorHAnsi" w:hAnsiTheme="minorHAnsi" w:cstheme="minorHAnsi"/>
          <w:color w:val="000000" w:themeColor="text1"/>
          <w:sz w:val="22"/>
          <w:szCs w:val="22"/>
        </w:rPr>
        <w:footnoteReference w:id="66"/>
      </w:r>
      <w:r w:rsidRPr="007647B4">
        <w:rPr>
          <w:rFonts w:asciiTheme="minorHAnsi" w:hAnsiTheme="minorHAnsi" w:cstheme="minorHAnsi"/>
          <w:color w:val="000000" w:themeColor="text1"/>
          <w:sz w:val="22"/>
          <w:szCs w:val="22"/>
        </w:rPr>
        <w:t xml:space="preserve"> Manufactured cannabis products incorporating menthol are already available</w:t>
      </w:r>
      <w:r w:rsidR="00761832" w:rsidRPr="007647B4">
        <w:rPr>
          <w:rFonts w:asciiTheme="minorHAnsi" w:hAnsiTheme="minorHAnsi" w:cstheme="minorHAnsi"/>
          <w:color w:val="000000" w:themeColor="text1"/>
          <w:sz w:val="22"/>
          <w:szCs w:val="22"/>
        </w:rPr>
        <w:t>.</w:t>
      </w:r>
      <w:r w:rsidR="00761832" w:rsidRPr="007647B4">
        <w:rPr>
          <w:rStyle w:val="FootnoteReference"/>
          <w:rFonts w:asciiTheme="minorHAnsi" w:hAnsiTheme="minorHAnsi" w:cstheme="minorHAnsi"/>
          <w:color w:val="000000" w:themeColor="text1"/>
          <w:sz w:val="22"/>
          <w:szCs w:val="22"/>
        </w:rPr>
        <w:footnoteReference w:id="67"/>
      </w:r>
      <w:r w:rsidRPr="007647B4">
        <w:rPr>
          <w:rFonts w:asciiTheme="minorHAnsi" w:hAnsiTheme="minorHAnsi" w:cstheme="minorHAnsi"/>
          <w:color w:val="000000" w:themeColor="text1"/>
          <w:sz w:val="22"/>
          <w:szCs w:val="22"/>
        </w:rPr>
        <w:t xml:space="preserve"> Menthol’s sensory effects potentially contribute similar behavioral reinforcement for cannabis use as for tobacco use, and menthol likely produces similar anesthetizing and cooling effects for inhaled cannabis products as for tobacco. </w:t>
      </w:r>
      <w:r w:rsidRPr="007647B4">
        <w:rPr>
          <w:rFonts w:asciiTheme="minorHAnsi" w:hAnsiTheme="minorHAnsi" w:cstheme="minorHAnsi"/>
          <w:b/>
          <w:color w:val="000000" w:themeColor="text1"/>
          <w:sz w:val="22"/>
          <w:szCs w:val="22"/>
        </w:rPr>
        <w:t>Menthol’s links to nicotine addiction and health inequities and its existing associations with cannabis use support a cautious policy prohibiting menthol in non-topical cannabis products to prevent repetition of harms attributable to mentholated tobacco products.</w:t>
      </w:r>
    </w:p>
    <w:p w14:paraId="68912B3A" w14:textId="2434452F" w:rsidR="00316817" w:rsidRPr="007647B4" w:rsidRDefault="00316817" w:rsidP="00232715">
      <w:pPr>
        <w:jc w:val="both"/>
        <w:rPr>
          <w:rFonts w:asciiTheme="minorHAnsi" w:hAnsiTheme="minorHAnsi" w:cstheme="minorHAnsi"/>
          <w:b/>
          <w:color w:val="000000" w:themeColor="text1"/>
          <w:sz w:val="22"/>
          <w:szCs w:val="22"/>
        </w:rPr>
      </w:pPr>
    </w:p>
    <w:p w14:paraId="5936CE6B" w14:textId="662E9623" w:rsidR="00316817" w:rsidRPr="007647B4" w:rsidRDefault="00316817" w:rsidP="00232715">
      <w:pPr>
        <w:jc w:val="both"/>
        <w:rPr>
          <w:rFonts w:asciiTheme="minorHAnsi" w:hAnsiTheme="minorHAnsi" w:cstheme="minorHAnsi"/>
          <w:color w:val="000000" w:themeColor="text1"/>
          <w:sz w:val="22"/>
          <w:szCs w:val="22"/>
        </w:rPr>
      </w:pPr>
      <w:r w:rsidRPr="007647B4">
        <w:rPr>
          <w:rFonts w:asciiTheme="minorHAnsi" w:hAnsiTheme="minorHAnsi" w:cstheme="minorHAnsi"/>
          <w:b/>
          <w:color w:val="000000" w:themeColor="text1"/>
          <w:sz w:val="22"/>
          <w:szCs w:val="22"/>
        </w:rPr>
        <w:t>Beyond menthol, a broad prohibition on characterizing flavors in nonedible products is necessary to deter youth use.</w:t>
      </w:r>
      <w:r w:rsidRPr="007647B4">
        <w:rPr>
          <w:rFonts w:asciiTheme="minorHAnsi" w:hAnsiTheme="minorHAnsi" w:cstheme="minorHAnsi"/>
          <w:color w:val="000000" w:themeColor="text1"/>
          <w:sz w:val="22"/>
          <w:szCs w:val="22"/>
        </w:rPr>
        <w:t xml:space="preserve"> Flavored products with a wide variety of flavors are a key tool for attracting young smokers to tobacco</w:t>
      </w:r>
      <w:r w:rsidR="00237BF4" w:rsidRPr="007647B4">
        <w:rPr>
          <w:rFonts w:asciiTheme="minorHAnsi" w:hAnsiTheme="minorHAnsi" w:cstheme="minorHAnsi"/>
          <w:color w:val="000000" w:themeColor="text1"/>
          <w:sz w:val="22"/>
          <w:szCs w:val="22"/>
        </w:rPr>
        <w:t>,</w:t>
      </w:r>
      <w:r w:rsidR="00761832" w:rsidRPr="007647B4">
        <w:rPr>
          <w:rStyle w:val="FootnoteReference"/>
          <w:rFonts w:asciiTheme="minorHAnsi" w:hAnsiTheme="minorHAnsi" w:cstheme="minorHAnsi"/>
          <w:color w:val="000000" w:themeColor="text1"/>
          <w:sz w:val="22"/>
          <w:szCs w:val="22"/>
        </w:rPr>
        <w:footnoteReference w:id="68"/>
      </w:r>
      <w:r w:rsidR="00237BF4" w:rsidRPr="007647B4">
        <w:rPr>
          <w:rFonts w:asciiTheme="minorHAnsi" w:hAnsiTheme="minorHAnsi" w:cstheme="minorHAnsi"/>
          <w:color w:val="000000" w:themeColor="text1"/>
          <w:sz w:val="22"/>
          <w:szCs w:val="22"/>
          <w:vertAlign w:val="superscript"/>
        </w:rPr>
        <w:t>,</w:t>
      </w:r>
      <w:r w:rsidR="00761832" w:rsidRPr="007647B4">
        <w:rPr>
          <w:rStyle w:val="FootnoteReference"/>
          <w:rFonts w:asciiTheme="minorHAnsi" w:hAnsiTheme="minorHAnsi" w:cstheme="minorHAnsi"/>
          <w:color w:val="000000" w:themeColor="text1"/>
          <w:sz w:val="22"/>
          <w:szCs w:val="22"/>
        </w:rPr>
        <w:footnoteReference w:id="69"/>
      </w:r>
      <w:r w:rsidR="00237BF4" w:rsidRPr="007647B4">
        <w:rPr>
          <w:rFonts w:asciiTheme="minorHAnsi" w:hAnsiTheme="minorHAnsi" w:cstheme="minorHAnsi"/>
          <w:color w:val="000000" w:themeColor="text1"/>
          <w:sz w:val="22"/>
          <w:szCs w:val="22"/>
          <w:vertAlign w:val="superscript"/>
        </w:rPr>
        <w:t>,</w:t>
      </w:r>
      <w:r w:rsidR="00761832" w:rsidRPr="007647B4">
        <w:rPr>
          <w:rStyle w:val="FootnoteReference"/>
          <w:rFonts w:asciiTheme="minorHAnsi" w:hAnsiTheme="minorHAnsi" w:cstheme="minorHAnsi"/>
          <w:color w:val="000000" w:themeColor="text1"/>
          <w:sz w:val="22"/>
          <w:szCs w:val="22"/>
        </w:rPr>
        <w:footnoteReference w:id="70"/>
      </w:r>
      <w:r w:rsidRPr="007647B4">
        <w:rPr>
          <w:rFonts w:asciiTheme="minorHAnsi" w:hAnsiTheme="minorHAnsi" w:cstheme="minorHAnsi"/>
          <w:color w:val="000000" w:themeColor="text1"/>
          <w:sz w:val="22"/>
          <w:szCs w:val="22"/>
        </w:rPr>
        <w:t xml:space="preserve"> and e-cigarettes</w:t>
      </w:r>
      <w:r w:rsidR="00761832" w:rsidRPr="007647B4">
        <w:rPr>
          <w:rFonts w:asciiTheme="minorHAnsi" w:hAnsiTheme="minorHAnsi" w:cstheme="minorHAnsi"/>
          <w:color w:val="000000" w:themeColor="text1"/>
          <w:sz w:val="22"/>
          <w:szCs w:val="22"/>
        </w:rPr>
        <w:t>.</w:t>
      </w:r>
      <w:r w:rsidR="00761832" w:rsidRPr="007647B4">
        <w:rPr>
          <w:rStyle w:val="FootnoteReference"/>
          <w:rFonts w:asciiTheme="minorHAnsi" w:hAnsiTheme="minorHAnsi" w:cstheme="minorHAnsi"/>
          <w:color w:val="000000" w:themeColor="text1"/>
          <w:sz w:val="22"/>
          <w:szCs w:val="22"/>
        </w:rPr>
        <w:footnoteReference w:id="71"/>
      </w:r>
      <w:r w:rsidR="00237BF4" w:rsidRPr="007647B4">
        <w:rPr>
          <w:rFonts w:asciiTheme="minorHAnsi" w:hAnsiTheme="minorHAnsi" w:cstheme="minorHAnsi"/>
          <w:color w:val="000000" w:themeColor="text1"/>
          <w:sz w:val="22"/>
          <w:szCs w:val="22"/>
          <w:vertAlign w:val="superscript"/>
        </w:rPr>
        <w:t>,</w:t>
      </w:r>
      <w:r w:rsidR="00761832" w:rsidRPr="007647B4">
        <w:rPr>
          <w:rStyle w:val="FootnoteReference"/>
          <w:rFonts w:asciiTheme="minorHAnsi" w:hAnsiTheme="minorHAnsi" w:cstheme="minorHAnsi"/>
          <w:color w:val="000000" w:themeColor="text1"/>
          <w:sz w:val="22"/>
          <w:szCs w:val="22"/>
        </w:rPr>
        <w:footnoteReference w:id="72"/>
      </w:r>
      <w:r w:rsidRPr="007647B4">
        <w:rPr>
          <w:rFonts w:asciiTheme="minorHAnsi" w:hAnsiTheme="minorHAnsi" w:cstheme="minorHAnsi"/>
          <w:color w:val="000000" w:themeColor="text1"/>
          <w:sz w:val="22"/>
          <w:szCs w:val="22"/>
        </w:rPr>
        <w:t xml:space="preserve"> Most adolescent tobacco and e-cigarette users currently use and initiated with flavored products</w:t>
      </w:r>
      <w:r w:rsidR="00761832" w:rsidRPr="007647B4">
        <w:rPr>
          <w:rFonts w:asciiTheme="minorHAnsi" w:hAnsiTheme="minorHAnsi" w:cstheme="minorHAnsi"/>
          <w:color w:val="000000" w:themeColor="text1"/>
          <w:sz w:val="22"/>
          <w:szCs w:val="22"/>
        </w:rPr>
        <w:t>.</w:t>
      </w:r>
      <w:r w:rsidR="00761832" w:rsidRPr="007647B4">
        <w:rPr>
          <w:rStyle w:val="FootnoteReference"/>
          <w:rFonts w:asciiTheme="minorHAnsi" w:hAnsiTheme="minorHAnsi" w:cstheme="minorHAnsi"/>
          <w:color w:val="000000" w:themeColor="text1"/>
          <w:sz w:val="22"/>
          <w:szCs w:val="22"/>
        </w:rPr>
        <w:footnoteReference w:id="73"/>
      </w:r>
      <w:r w:rsidRPr="007647B4">
        <w:rPr>
          <w:rFonts w:asciiTheme="minorHAnsi" w:hAnsiTheme="minorHAnsi" w:cstheme="minorHAnsi"/>
          <w:color w:val="000000" w:themeColor="text1"/>
          <w:sz w:val="22"/>
          <w:szCs w:val="22"/>
        </w:rPr>
        <w:t xml:space="preserve"> Disguising unpleasant tastes with flavors to attract young users is a tobacco industry strategy that could easily repeat for manufactured cannabis products absent strong regulations. The FDA’s 2009 ban on cigarettes with characterizing flavors (authorized by the Family Smoking Prevention and Tobacco Control Act) was followed by a decrease in adolescent tobacco use and substantial reductions in the probability of being a cigarette smoker and in cigarettes smoked among adolescents</w:t>
      </w:r>
      <w:r w:rsidR="00761832" w:rsidRPr="007647B4">
        <w:rPr>
          <w:rFonts w:asciiTheme="minorHAnsi" w:hAnsiTheme="minorHAnsi" w:cstheme="minorHAnsi"/>
          <w:color w:val="000000" w:themeColor="text1"/>
          <w:sz w:val="22"/>
          <w:szCs w:val="22"/>
        </w:rPr>
        <w:t>.</w:t>
      </w:r>
      <w:r w:rsidR="00761832" w:rsidRPr="007647B4">
        <w:rPr>
          <w:rStyle w:val="FootnoteReference"/>
          <w:rFonts w:asciiTheme="minorHAnsi" w:hAnsiTheme="minorHAnsi" w:cstheme="minorHAnsi"/>
          <w:color w:val="000000" w:themeColor="text1"/>
          <w:sz w:val="22"/>
          <w:szCs w:val="22"/>
        </w:rPr>
        <w:footnoteReference w:id="74"/>
      </w:r>
      <w:r w:rsidRPr="007647B4">
        <w:rPr>
          <w:rFonts w:asciiTheme="minorHAnsi" w:hAnsiTheme="minorHAnsi" w:cstheme="minorHAnsi"/>
          <w:color w:val="000000" w:themeColor="text1"/>
          <w:sz w:val="22"/>
          <w:szCs w:val="22"/>
        </w:rPr>
        <w:t xml:space="preserve"> Because the final 2009 ban controversially failed to include menthol cigarettes or flavored </w:t>
      </w:r>
      <w:r w:rsidRPr="007647B4">
        <w:rPr>
          <w:rFonts w:asciiTheme="minorHAnsi" w:hAnsiTheme="minorHAnsi" w:cstheme="minorHAnsi"/>
          <w:color w:val="000000" w:themeColor="text1"/>
          <w:sz w:val="22"/>
          <w:szCs w:val="22"/>
        </w:rPr>
        <w:lastRenderedPageBreak/>
        <w:t xml:space="preserve">non-cigarette tobacco, increased use of cigars, pipes, and menthol cigarettes limited the impact on adolescent tobacco use. </w:t>
      </w:r>
    </w:p>
    <w:p w14:paraId="044EF23F" w14:textId="2699C693" w:rsidR="00316817" w:rsidRPr="007647B4" w:rsidRDefault="00316817" w:rsidP="00232715">
      <w:pPr>
        <w:jc w:val="both"/>
        <w:rPr>
          <w:rFonts w:asciiTheme="minorHAnsi" w:hAnsiTheme="minorHAnsi" w:cstheme="minorHAnsi"/>
          <w:color w:val="000000" w:themeColor="text1"/>
          <w:sz w:val="22"/>
          <w:szCs w:val="22"/>
        </w:rPr>
      </w:pPr>
    </w:p>
    <w:p w14:paraId="5D9E7826" w14:textId="13CB02D8" w:rsidR="003A6D45" w:rsidRPr="007647B4" w:rsidRDefault="00316817" w:rsidP="00232715">
      <w:pPr>
        <w:jc w:val="both"/>
        <w:rPr>
          <w:rFonts w:asciiTheme="minorHAnsi" w:hAnsiTheme="minorHAnsi" w:cstheme="minorHAnsi"/>
          <w:b/>
          <w:color w:val="000000" w:themeColor="text1"/>
          <w:sz w:val="22"/>
          <w:szCs w:val="22"/>
        </w:rPr>
      </w:pPr>
      <w:r w:rsidRPr="007647B4">
        <w:rPr>
          <w:rFonts w:asciiTheme="minorHAnsi" w:hAnsiTheme="minorHAnsi" w:cstheme="minorHAnsi"/>
          <w:color w:val="000000" w:themeColor="text1"/>
          <w:sz w:val="22"/>
          <w:szCs w:val="22"/>
        </w:rPr>
        <w:t xml:space="preserve">The existing medical cannabis market in our state has clearly adopted this key strategy of the tobacco industry to attract youth. While flavored flower is not widely present, a wide range of other flavored products </w:t>
      </w:r>
      <w:r w:rsidR="009542EB" w:rsidRPr="007647B4">
        <w:rPr>
          <w:rFonts w:asciiTheme="minorHAnsi" w:hAnsiTheme="minorHAnsi" w:cstheme="minorHAnsi"/>
          <w:color w:val="000000" w:themeColor="text1"/>
          <w:sz w:val="22"/>
          <w:szCs w:val="22"/>
        </w:rPr>
        <w:t>including flavored pre-rolls, as well as</w:t>
      </w:r>
      <w:r w:rsidR="00DA6B6F"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flavor named strains or extracts</w:t>
      </w:r>
      <w:r w:rsidR="009542EB" w:rsidRPr="007647B4">
        <w:rPr>
          <w:rFonts w:asciiTheme="minorHAnsi" w:hAnsiTheme="minorHAnsi" w:cstheme="minorHAnsi"/>
          <w:color w:val="000000" w:themeColor="text1"/>
          <w:sz w:val="22"/>
          <w:szCs w:val="22"/>
        </w:rPr>
        <w:t xml:space="preserve"> (even when they do not actually contain the flavor)</w:t>
      </w:r>
      <w:r w:rsidRPr="007647B4">
        <w:rPr>
          <w:rFonts w:asciiTheme="minorHAnsi" w:hAnsiTheme="minorHAnsi" w:cstheme="minorHAnsi"/>
          <w:color w:val="000000" w:themeColor="text1"/>
          <w:sz w:val="22"/>
          <w:szCs w:val="22"/>
        </w:rPr>
        <w:t xml:space="preserve"> are</w:t>
      </w:r>
      <w:r w:rsidR="009542EB" w:rsidRPr="007647B4">
        <w:rPr>
          <w:rFonts w:asciiTheme="minorHAnsi" w:hAnsiTheme="minorHAnsi" w:cstheme="minorHAnsi"/>
          <w:color w:val="000000" w:themeColor="text1"/>
          <w:sz w:val="22"/>
          <w:szCs w:val="22"/>
        </w:rPr>
        <w:t xml:space="preserve"> available</w:t>
      </w:r>
      <w:r w:rsidRPr="007647B4">
        <w:rPr>
          <w:rFonts w:asciiTheme="minorHAnsi" w:hAnsiTheme="minorHAnsi" w:cstheme="minorHAnsi"/>
          <w:color w:val="000000" w:themeColor="text1"/>
          <w:sz w:val="22"/>
          <w:szCs w:val="22"/>
        </w:rPr>
        <w:t>.</w:t>
      </w:r>
      <w:r w:rsidR="00237BF4" w:rsidRPr="007647B4">
        <w:rPr>
          <w:rFonts w:asciiTheme="minorHAnsi" w:hAnsiTheme="minorHAnsi" w:cstheme="minorHAnsi"/>
          <w:b/>
          <w:color w:val="000000" w:themeColor="text1"/>
          <w:sz w:val="22"/>
          <w:szCs w:val="22"/>
        </w:rPr>
        <w:t xml:space="preserve"> </w:t>
      </w:r>
      <w:r w:rsidRPr="007647B4">
        <w:rPr>
          <w:rFonts w:asciiTheme="minorHAnsi" w:hAnsiTheme="minorHAnsi" w:cstheme="minorHAnsi"/>
          <w:b/>
          <w:color w:val="000000" w:themeColor="text1"/>
          <w:sz w:val="22"/>
          <w:szCs w:val="22"/>
        </w:rPr>
        <w:t>Cannabis regulations should prevent similar effects by prohibiting characterizing flavors in nonedible products whether for the medical or adult-use market</w:t>
      </w:r>
      <w:r w:rsidR="003A6D45" w:rsidRPr="007647B4">
        <w:rPr>
          <w:rFonts w:asciiTheme="minorHAnsi" w:hAnsiTheme="minorHAnsi" w:cstheme="minorHAnsi"/>
          <w:b/>
          <w:color w:val="000000" w:themeColor="text1"/>
          <w:sz w:val="22"/>
          <w:szCs w:val="22"/>
        </w:rPr>
        <w:t>.</w:t>
      </w:r>
    </w:p>
    <w:p w14:paraId="3D091A44" w14:textId="77777777" w:rsidR="003A6D45" w:rsidRPr="007647B4" w:rsidRDefault="003A6D45" w:rsidP="00232715">
      <w:pPr>
        <w:jc w:val="both"/>
        <w:rPr>
          <w:rFonts w:asciiTheme="minorHAnsi" w:hAnsiTheme="minorHAnsi" w:cstheme="minorHAnsi"/>
          <w:b/>
          <w:color w:val="000000" w:themeColor="text1"/>
          <w:sz w:val="22"/>
          <w:szCs w:val="22"/>
        </w:rPr>
      </w:pPr>
    </w:p>
    <w:p w14:paraId="3A9106B5" w14:textId="76493C77" w:rsidR="00316817" w:rsidRPr="007647B4" w:rsidRDefault="003A6D45" w:rsidP="00232715">
      <w:pPr>
        <w:jc w:val="both"/>
        <w:rPr>
          <w:rFonts w:asciiTheme="minorHAnsi" w:hAnsiTheme="minorHAnsi" w:cstheme="minorHAnsi"/>
          <w:sz w:val="22"/>
          <w:szCs w:val="22"/>
        </w:rPr>
      </w:pPr>
      <w:r w:rsidRPr="007647B4">
        <w:rPr>
          <w:rFonts w:asciiTheme="minorHAnsi" w:hAnsiTheme="minorHAnsi" w:cstheme="minorHAnsi"/>
          <w:b/>
          <w:color w:val="000000" w:themeColor="text1"/>
          <w:sz w:val="22"/>
          <w:szCs w:val="22"/>
        </w:rPr>
        <w:t>An additional issue which should also be addressed is the prohibition of misleading branding names that imply, but do not even offer, typical fruit flavors attractive to youth</w:t>
      </w:r>
      <w:r w:rsidR="00DA6B6F" w:rsidRPr="007647B4">
        <w:rPr>
          <w:rFonts w:asciiTheme="minorHAnsi" w:hAnsiTheme="minorHAnsi" w:cstheme="minorHAnsi"/>
          <w:b/>
          <w:color w:val="000000" w:themeColor="text1"/>
          <w:sz w:val="22"/>
          <w:szCs w:val="22"/>
        </w:rPr>
        <w:t xml:space="preserve"> </w:t>
      </w:r>
      <w:r w:rsidR="009542EB" w:rsidRPr="007647B4">
        <w:rPr>
          <w:rFonts w:asciiTheme="minorHAnsi" w:hAnsiTheme="minorHAnsi" w:cstheme="minorHAnsi"/>
          <w:color w:val="000000" w:themeColor="text1"/>
          <w:sz w:val="22"/>
          <w:szCs w:val="22"/>
        </w:rPr>
        <w:t xml:space="preserve">(for example </w:t>
      </w:r>
      <w:r w:rsidRPr="007647B4">
        <w:rPr>
          <w:rFonts w:asciiTheme="minorHAnsi" w:hAnsiTheme="minorHAnsi" w:cstheme="minorHAnsi"/>
          <w:color w:val="000000" w:themeColor="text1"/>
          <w:sz w:val="22"/>
          <w:szCs w:val="22"/>
        </w:rPr>
        <w:t xml:space="preserve">Leafly’s </w:t>
      </w:r>
      <w:r w:rsidR="009542EB" w:rsidRPr="007647B4">
        <w:rPr>
          <w:rFonts w:asciiTheme="minorHAnsi" w:hAnsiTheme="minorHAnsi" w:cstheme="minorHAnsi"/>
          <w:color w:val="000000" w:themeColor="text1"/>
          <w:sz w:val="22"/>
          <w:szCs w:val="22"/>
        </w:rPr>
        <w:t>“Cherry Pie</w:t>
      </w:r>
      <w:r w:rsidRPr="007647B4">
        <w:rPr>
          <w:rFonts w:asciiTheme="minorHAnsi" w:hAnsiTheme="minorHAnsi" w:cstheme="minorHAnsi"/>
          <w:color w:val="000000" w:themeColor="text1"/>
          <w:sz w:val="22"/>
          <w:szCs w:val="22"/>
        </w:rPr>
        <w:t xml:space="preserve">” or “Strawberry” </w:t>
      </w:r>
      <w:r w:rsidR="001E1684" w:rsidRPr="007647B4">
        <w:rPr>
          <w:rFonts w:asciiTheme="minorHAnsi" w:hAnsiTheme="minorHAnsi" w:cstheme="minorHAnsi"/>
          <w:color w:val="000000" w:themeColor="text1"/>
          <w:sz w:val="22"/>
          <w:szCs w:val="22"/>
        </w:rPr>
        <w:t>cannabis;</w:t>
      </w:r>
      <w:r w:rsidRPr="007647B4">
        <w:rPr>
          <w:rFonts w:asciiTheme="minorHAnsi" w:hAnsiTheme="minorHAnsi" w:cstheme="minorHAnsi"/>
          <w:color w:val="000000" w:themeColor="text1"/>
          <w:sz w:val="22"/>
          <w:szCs w:val="22"/>
        </w:rPr>
        <w:t xml:space="preserve"> or </w:t>
      </w:r>
      <w:proofErr w:type="spellStart"/>
      <w:r w:rsidRPr="007647B4">
        <w:rPr>
          <w:rFonts w:asciiTheme="minorHAnsi" w:hAnsiTheme="minorHAnsi" w:cstheme="minorHAnsi"/>
          <w:color w:val="1A181C"/>
          <w:sz w:val="22"/>
          <w:szCs w:val="22"/>
          <w:shd w:val="clear" w:color="auto" w:fill="FFFFFF"/>
        </w:rPr>
        <w:t>Greenwolf</w:t>
      </w:r>
      <w:proofErr w:type="spellEnd"/>
      <w:r w:rsidRPr="007647B4">
        <w:rPr>
          <w:rFonts w:asciiTheme="minorHAnsi" w:hAnsiTheme="minorHAnsi" w:cstheme="minorHAnsi"/>
          <w:color w:val="1A181C"/>
          <w:sz w:val="22"/>
          <w:szCs w:val="22"/>
          <w:shd w:val="clear" w:color="auto" w:fill="FFFFFF"/>
        </w:rPr>
        <w:t xml:space="preserve"> and Moxie’s Strawberry Banana Lemonade).</w:t>
      </w:r>
    </w:p>
    <w:p w14:paraId="3EA518D4" w14:textId="77777777" w:rsidR="001A7174" w:rsidRPr="007647B4" w:rsidRDefault="001A7174" w:rsidP="00232715">
      <w:pPr>
        <w:jc w:val="both"/>
        <w:rPr>
          <w:rFonts w:asciiTheme="minorHAnsi" w:hAnsiTheme="minorHAnsi" w:cstheme="minorHAnsi"/>
          <w:color w:val="000000" w:themeColor="text1"/>
          <w:sz w:val="22"/>
          <w:szCs w:val="22"/>
        </w:rPr>
      </w:pPr>
    </w:p>
    <w:p w14:paraId="4308DCE3" w14:textId="460EBE3E" w:rsidR="001A7174" w:rsidRPr="007647B4" w:rsidRDefault="001A7174" w:rsidP="00232715">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Flavored edible products present similar concerns that require further research on how they may impact use and initiation. While some patients prefer flavored products, any therapeutic effect is likely unrelated to flavorings, and alternative formulations (e.g., tinctures) are available. </w:t>
      </w:r>
    </w:p>
    <w:p w14:paraId="7463B7DC" w14:textId="77777777" w:rsidR="00316817" w:rsidRPr="007647B4" w:rsidRDefault="00316817" w:rsidP="00232715">
      <w:pPr>
        <w:jc w:val="both"/>
        <w:rPr>
          <w:rFonts w:asciiTheme="minorHAnsi" w:hAnsiTheme="minorHAnsi" w:cstheme="minorHAnsi"/>
          <w:b/>
          <w:color w:val="000000" w:themeColor="text1"/>
          <w:sz w:val="22"/>
          <w:szCs w:val="22"/>
        </w:rPr>
      </w:pPr>
    </w:p>
    <w:p w14:paraId="68C131DF" w14:textId="2BC0B92D" w:rsidR="001A7174" w:rsidRPr="007647B4" w:rsidRDefault="00316817" w:rsidP="00232715">
      <w:pPr>
        <w:jc w:val="both"/>
        <w:rPr>
          <w:rFonts w:asciiTheme="minorHAnsi" w:hAnsiTheme="minorHAnsi" w:cstheme="minorHAnsi"/>
          <w:b/>
          <w:color w:val="000000" w:themeColor="text1"/>
          <w:sz w:val="22"/>
          <w:szCs w:val="22"/>
        </w:rPr>
      </w:pPr>
      <w:r w:rsidRPr="007647B4">
        <w:rPr>
          <w:rFonts w:asciiTheme="minorHAnsi" w:hAnsiTheme="minorHAnsi" w:cstheme="minorHAnsi"/>
          <w:b/>
          <w:color w:val="000000" w:themeColor="text1"/>
          <w:sz w:val="22"/>
          <w:szCs w:val="22"/>
        </w:rPr>
        <w:t>It took decades for Congress to pass a law and the FDA to get most flavored tobacco off the market, and they are still struggling to get menthol off the market despite massive evidence</w:t>
      </w:r>
      <w:r w:rsidR="001D6E60" w:rsidRPr="007647B4">
        <w:rPr>
          <w:rFonts w:asciiTheme="minorHAnsi" w:hAnsiTheme="minorHAnsi" w:cstheme="minorHAnsi"/>
          <w:b/>
          <w:color w:val="000000" w:themeColor="text1"/>
          <w:sz w:val="22"/>
          <w:szCs w:val="22"/>
        </w:rPr>
        <w:t xml:space="preserve"> of harm</w:t>
      </w:r>
      <w:r w:rsidRPr="007647B4">
        <w:rPr>
          <w:rFonts w:asciiTheme="minorHAnsi" w:hAnsiTheme="minorHAnsi" w:cstheme="minorHAnsi"/>
          <w:b/>
          <w:color w:val="000000" w:themeColor="text1"/>
          <w:sz w:val="22"/>
          <w:szCs w:val="22"/>
        </w:rPr>
        <w:t xml:space="preserve">. </w:t>
      </w:r>
      <w:r w:rsidR="004F0418" w:rsidRPr="007647B4">
        <w:rPr>
          <w:rFonts w:asciiTheme="minorHAnsi" w:hAnsiTheme="minorHAnsi" w:cstheme="minorHAnsi"/>
          <w:b/>
          <w:color w:val="000000" w:themeColor="text1"/>
          <w:sz w:val="22"/>
          <w:szCs w:val="22"/>
        </w:rPr>
        <w:t>CDPH</w:t>
      </w:r>
      <w:r w:rsidR="003A6D45" w:rsidRPr="007647B4">
        <w:rPr>
          <w:rFonts w:asciiTheme="minorHAnsi" w:hAnsiTheme="minorHAnsi" w:cstheme="minorHAnsi"/>
          <w:b/>
          <w:color w:val="000000" w:themeColor="text1"/>
          <w:sz w:val="22"/>
          <w:szCs w:val="22"/>
        </w:rPr>
        <w:t xml:space="preserve"> has been actively engaged in</w:t>
      </w:r>
      <w:r w:rsidR="004F0418" w:rsidRPr="007647B4">
        <w:rPr>
          <w:rFonts w:asciiTheme="minorHAnsi" w:hAnsiTheme="minorHAnsi" w:cstheme="minorHAnsi"/>
          <w:b/>
          <w:color w:val="000000" w:themeColor="text1"/>
          <w:sz w:val="22"/>
          <w:szCs w:val="22"/>
        </w:rPr>
        <w:t xml:space="preserve"> the effort to end flavored tobacco. It makes no sense for CDPH to permit the launch of the state’s </w:t>
      </w:r>
      <w:r w:rsidRPr="007647B4">
        <w:rPr>
          <w:rFonts w:asciiTheme="minorHAnsi" w:hAnsiTheme="minorHAnsi" w:cstheme="minorHAnsi"/>
          <w:b/>
          <w:color w:val="000000" w:themeColor="text1"/>
          <w:sz w:val="22"/>
          <w:szCs w:val="22"/>
        </w:rPr>
        <w:t>new</w:t>
      </w:r>
      <w:r w:rsidR="004F0418" w:rsidRPr="007647B4">
        <w:rPr>
          <w:rFonts w:asciiTheme="minorHAnsi" w:hAnsiTheme="minorHAnsi" w:cstheme="minorHAnsi"/>
          <w:b/>
          <w:color w:val="000000" w:themeColor="text1"/>
          <w:sz w:val="22"/>
          <w:szCs w:val="22"/>
        </w:rPr>
        <w:t>ly</w:t>
      </w:r>
      <w:r w:rsidRPr="007647B4">
        <w:rPr>
          <w:rFonts w:asciiTheme="minorHAnsi" w:hAnsiTheme="minorHAnsi" w:cstheme="minorHAnsi"/>
          <w:b/>
          <w:color w:val="000000" w:themeColor="text1"/>
          <w:sz w:val="22"/>
          <w:szCs w:val="22"/>
        </w:rPr>
        <w:t xml:space="preserve"> legal cannabis market repeating grave past regulatory mistakes</w:t>
      </w:r>
      <w:r w:rsidR="004F0418" w:rsidRPr="007647B4">
        <w:rPr>
          <w:rFonts w:asciiTheme="minorHAnsi" w:hAnsiTheme="minorHAnsi" w:cstheme="minorHAnsi"/>
          <w:b/>
          <w:color w:val="000000" w:themeColor="text1"/>
          <w:sz w:val="22"/>
          <w:szCs w:val="22"/>
        </w:rPr>
        <w:t xml:space="preserve"> leading to youth use and dependency.</w:t>
      </w:r>
    </w:p>
    <w:p w14:paraId="4AAB55F3" w14:textId="77777777" w:rsidR="001A7174" w:rsidRPr="007647B4" w:rsidRDefault="001A7174" w:rsidP="00232715">
      <w:pPr>
        <w:jc w:val="both"/>
        <w:rPr>
          <w:rFonts w:asciiTheme="minorHAnsi" w:hAnsiTheme="minorHAnsi" w:cstheme="minorHAnsi"/>
          <w:color w:val="000000" w:themeColor="text1"/>
          <w:sz w:val="22"/>
          <w:szCs w:val="22"/>
        </w:rPr>
      </w:pPr>
    </w:p>
    <w:p w14:paraId="4F197BB3" w14:textId="1AF49FD5" w:rsidR="003A6D45" w:rsidRPr="007647B4" w:rsidRDefault="000B7EE5" w:rsidP="00232715">
      <w:pPr>
        <w:ind w:firstLine="720"/>
        <w:jc w:val="both"/>
        <w:rPr>
          <w:rFonts w:asciiTheme="minorHAnsi" w:hAnsiTheme="minorHAnsi" w:cstheme="minorHAnsi"/>
          <w:color w:val="000000" w:themeColor="text1"/>
          <w:sz w:val="22"/>
          <w:szCs w:val="22"/>
        </w:rPr>
      </w:pPr>
      <w:r w:rsidRPr="007647B4">
        <w:rPr>
          <w:rFonts w:asciiTheme="minorHAnsi" w:hAnsiTheme="minorHAnsi" w:cstheme="minorHAnsi"/>
          <w:b/>
          <w:color w:val="000000" w:themeColor="text1"/>
          <w:sz w:val="22"/>
          <w:szCs w:val="22"/>
        </w:rPr>
        <w:t>1.c.</w:t>
      </w:r>
      <w:r w:rsidR="001A7174" w:rsidRPr="007647B4">
        <w:rPr>
          <w:rFonts w:asciiTheme="minorHAnsi" w:hAnsiTheme="minorHAnsi" w:cstheme="minorHAnsi"/>
          <w:b/>
          <w:color w:val="000000" w:themeColor="text1"/>
          <w:sz w:val="22"/>
          <w:szCs w:val="22"/>
        </w:rPr>
        <w:t>) Cannabis infused beverages</w:t>
      </w:r>
      <w:r w:rsidR="001A7174" w:rsidRPr="007647B4">
        <w:rPr>
          <w:rFonts w:asciiTheme="minorHAnsi" w:hAnsiTheme="minorHAnsi" w:cstheme="minorHAnsi"/>
          <w:color w:val="000000" w:themeColor="text1"/>
          <w:sz w:val="22"/>
          <w:szCs w:val="22"/>
        </w:rPr>
        <w:t xml:space="preserve"> </w:t>
      </w:r>
      <w:r w:rsidR="001A7174" w:rsidRPr="007647B4">
        <w:rPr>
          <w:rFonts w:asciiTheme="minorHAnsi" w:hAnsiTheme="minorHAnsi" w:cstheme="minorHAnsi"/>
          <w:b/>
          <w:color w:val="000000" w:themeColor="text1"/>
          <w:sz w:val="22"/>
          <w:szCs w:val="22"/>
        </w:rPr>
        <w:t>(§ 40300)</w:t>
      </w:r>
    </w:p>
    <w:p w14:paraId="0D51B56B" w14:textId="77777777" w:rsidR="003A6D45" w:rsidRPr="007647B4" w:rsidRDefault="003A6D45" w:rsidP="00232715">
      <w:pPr>
        <w:jc w:val="both"/>
        <w:rPr>
          <w:rFonts w:asciiTheme="minorHAnsi" w:hAnsiTheme="minorHAnsi" w:cstheme="minorHAnsi"/>
          <w:color w:val="000000" w:themeColor="text1"/>
          <w:sz w:val="22"/>
          <w:szCs w:val="22"/>
        </w:rPr>
      </w:pPr>
    </w:p>
    <w:p w14:paraId="2A0D3634" w14:textId="63E219B7" w:rsidR="001A7174" w:rsidRPr="007647B4" w:rsidRDefault="001A7174" w:rsidP="00232715">
      <w:pPr>
        <w:jc w:val="both"/>
        <w:rPr>
          <w:rFonts w:asciiTheme="minorHAnsi" w:hAnsiTheme="minorHAnsi" w:cstheme="minorHAnsi"/>
          <w:color w:val="000000" w:themeColor="text1"/>
          <w:sz w:val="22"/>
          <w:szCs w:val="22"/>
        </w:rPr>
      </w:pPr>
      <w:r w:rsidRPr="007647B4">
        <w:rPr>
          <w:rFonts w:asciiTheme="minorHAnsi" w:hAnsiTheme="minorHAnsi" w:cstheme="minorHAnsi"/>
          <w:b/>
          <w:color w:val="000000" w:themeColor="text1"/>
          <w:sz w:val="22"/>
          <w:szCs w:val="22"/>
        </w:rPr>
        <w:t>There is absolutely no need for medical or adult-use beverages and they represent a clear marketing strategy to increase and trivialize consumption</w:t>
      </w:r>
      <w:r w:rsidR="00535B7B" w:rsidRPr="007647B4">
        <w:rPr>
          <w:rFonts w:asciiTheme="minorHAnsi" w:hAnsiTheme="minorHAnsi" w:cstheme="minorHAnsi"/>
          <w:b/>
          <w:color w:val="000000" w:themeColor="text1"/>
          <w:sz w:val="22"/>
          <w:szCs w:val="22"/>
        </w:rPr>
        <w:t>, by mimicking common beverages,</w:t>
      </w:r>
      <w:r w:rsidRPr="007647B4">
        <w:rPr>
          <w:rFonts w:asciiTheme="minorHAnsi" w:hAnsiTheme="minorHAnsi" w:cstheme="minorHAnsi"/>
          <w:b/>
          <w:color w:val="000000" w:themeColor="text1"/>
          <w:sz w:val="22"/>
          <w:szCs w:val="22"/>
        </w:rPr>
        <w:t xml:space="preserve"> and to attract youth.</w:t>
      </w:r>
      <w:r w:rsidRPr="007647B4">
        <w:rPr>
          <w:rFonts w:asciiTheme="minorHAnsi" w:hAnsiTheme="minorHAnsi" w:cstheme="minorHAnsi"/>
          <w:color w:val="000000" w:themeColor="text1"/>
          <w:sz w:val="22"/>
          <w:szCs w:val="22"/>
        </w:rPr>
        <w:t xml:space="preserve"> </w:t>
      </w:r>
      <w:r w:rsidR="00535B7B" w:rsidRPr="007647B4">
        <w:rPr>
          <w:rFonts w:asciiTheme="minorHAnsi" w:hAnsiTheme="minorHAnsi" w:cstheme="minorHAnsi"/>
          <w:color w:val="000000" w:themeColor="text1"/>
          <w:sz w:val="22"/>
          <w:szCs w:val="22"/>
        </w:rPr>
        <w:t xml:space="preserve"> </w:t>
      </w:r>
      <w:r w:rsidR="00535B7B" w:rsidRPr="007647B4">
        <w:rPr>
          <w:rFonts w:asciiTheme="minorHAnsi" w:hAnsiTheme="minorHAnsi" w:cstheme="minorHAnsi"/>
          <w:b/>
          <w:color w:val="000000" w:themeColor="text1"/>
          <w:sz w:val="22"/>
          <w:szCs w:val="22"/>
        </w:rPr>
        <w:t>Their manufacture should not be allowed</w:t>
      </w:r>
      <w:r w:rsidR="00535B7B"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Today there is orange soda cannabis and ice tea cannabis for sale in dispensaries.</w:t>
      </w:r>
      <w:r w:rsidR="00DA6B6F"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Recently, the well-known Lagunitas Brewing Company has teamed up with</w:t>
      </w:r>
      <w:r w:rsidR="00DA6B6F"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CannaCraft to allow for Lagunitas-branded cannabis infused sparkling water called “HiFi Hops”.</w:t>
      </w:r>
      <w:r w:rsidRPr="007647B4">
        <w:rPr>
          <w:rStyle w:val="FootnoteReference"/>
          <w:rFonts w:asciiTheme="minorHAnsi" w:hAnsiTheme="minorHAnsi" w:cstheme="minorHAnsi"/>
          <w:color w:val="000000" w:themeColor="text1"/>
          <w:sz w:val="22"/>
          <w:szCs w:val="22"/>
        </w:rPr>
        <w:footnoteReference w:id="75"/>
      </w:r>
      <w:r w:rsidR="00DA6B6F"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As CDPH and the entire nation works to reduce consumption of sugar sweetened beverages, and even artificially sweetened ones, and communities increasingly ban “alco-pops</w:t>
      </w:r>
      <w:r w:rsidR="003A6D45" w:rsidRPr="007647B4">
        <w:rPr>
          <w:rFonts w:asciiTheme="minorHAnsi" w:hAnsiTheme="minorHAnsi" w:cstheme="minorHAnsi"/>
          <w:color w:val="000000" w:themeColor="text1"/>
          <w:sz w:val="22"/>
          <w:szCs w:val="22"/>
        </w:rPr>
        <w:t>,”</w:t>
      </w:r>
      <w:r w:rsidRPr="007647B4">
        <w:rPr>
          <w:rFonts w:asciiTheme="minorHAnsi" w:hAnsiTheme="minorHAnsi" w:cstheme="minorHAnsi"/>
          <w:color w:val="000000" w:themeColor="text1"/>
          <w:sz w:val="22"/>
          <w:szCs w:val="22"/>
        </w:rPr>
        <w:t xml:space="preserve"> it is completely unjustifiable to permit the launch of a new portfolio of harmful beverages combined with cannabis, a public health double whammy. Sugar sweetened beverage consumption has been clearly linked in a massive body of research to obesity, diabetes, heart disease and other health problems, and even artificially sweetened beverage consumption has growing evidence of associated harm.</w:t>
      </w:r>
      <w:r w:rsidR="001D6E60" w:rsidRPr="007647B4">
        <w:rPr>
          <w:rStyle w:val="FootnoteReference"/>
          <w:rFonts w:asciiTheme="minorHAnsi" w:hAnsiTheme="minorHAnsi" w:cstheme="minorHAnsi"/>
          <w:color w:val="000000" w:themeColor="text1"/>
          <w:sz w:val="22"/>
          <w:szCs w:val="22"/>
        </w:rPr>
        <w:footnoteReference w:id="76"/>
      </w:r>
      <w:r w:rsidRPr="007647B4">
        <w:rPr>
          <w:rFonts w:asciiTheme="minorHAnsi" w:hAnsiTheme="minorHAnsi" w:cstheme="minorHAnsi"/>
          <w:color w:val="000000" w:themeColor="text1"/>
          <w:sz w:val="22"/>
          <w:szCs w:val="22"/>
        </w:rPr>
        <w:t xml:space="preserve"> Alco-pops, the model for many of these infused beverages, have been associated with adolescent drinking.</w:t>
      </w:r>
      <w:r w:rsidR="001D6E60" w:rsidRPr="007647B4">
        <w:rPr>
          <w:rStyle w:val="FootnoteReference"/>
          <w:rFonts w:asciiTheme="minorHAnsi" w:hAnsiTheme="minorHAnsi" w:cstheme="minorHAnsi"/>
          <w:color w:val="000000" w:themeColor="text1"/>
          <w:sz w:val="22"/>
          <w:szCs w:val="22"/>
        </w:rPr>
        <w:footnoteReference w:id="77"/>
      </w:r>
      <w:r w:rsidRPr="007647B4">
        <w:rPr>
          <w:rFonts w:asciiTheme="minorHAnsi" w:hAnsiTheme="minorHAnsi" w:cstheme="minorHAnsi"/>
          <w:color w:val="000000" w:themeColor="text1"/>
          <w:sz w:val="22"/>
          <w:szCs w:val="22"/>
        </w:rPr>
        <w:t xml:space="preserve"> After a tax was instituted to reduce their consumption in Australia, injuries in 15-29 year olds declined.</w:t>
      </w:r>
      <w:r w:rsidRPr="007647B4">
        <w:rPr>
          <w:rStyle w:val="FootnoteReference"/>
          <w:rFonts w:asciiTheme="minorHAnsi" w:hAnsiTheme="minorHAnsi" w:cstheme="minorHAnsi"/>
          <w:color w:val="000000" w:themeColor="text1"/>
          <w:sz w:val="22"/>
          <w:szCs w:val="22"/>
        </w:rPr>
        <w:footnoteReference w:id="78"/>
      </w:r>
      <w:r w:rsidRPr="007647B4">
        <w:rPr>
          <w:rFonts w:asciiTheme="minorHAnsi" w:hAnsiTheme="minorHAnsi" w:cstheme="minorHAnsi"/>
          <w:color w:val="000000" w:themeColor="text1"/>
          <w:sz w:val="22"/>
          <w:szCs w:val="22"/>
        </w:rPr>
        <w:t xml:space="preserve"> Why would we wish to duplicate this harmful model with cannabis? </w:t>
      </w:r>
    </w:p>
    <w:p w14:paraId="57E52415" w14:textId="77777777" w:rsidR="001A7174" w:rsidRPr="007647B4" w:rsidRDefault="001A7174" w:rsidP="003B2510">
      <w:pPr>
        <w:jc w:val="both"/>
        <w:rPr>
          <w:rFonts w:asciiTheme="minorHAnsi" w:hAnsiTheme="minorHAnsi" w:cstheme="minorHAnsi"/>
          <w:color w:val="000000" w:themeColor="text1"/>
          <w:sz w:val="22"/>
          <w:szCs w:val="22"/>
        </w:rPr>
      </w:pPr>
    </w:p>
    <w:p w14:paraId="0CA62681" w14:textId="3B78FFA3" w:rsidR="001A7174" w:rsidRPr="007647B4" w:rsidRDefault="001A7174"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Cannabis infused dried meats or other typical food products pose a similar issue, albeit less likely to be scaled up. The standards for juice may also be contradictory, in that on the one hand the standards </w:t>
      </w:r>
      <w:r w:rsidRPr="007647B4">
        <w:rPr>
          <w:rFonts w:asciiTheme="minorHAnsi" w:hAnsiTheme="minorHAnsi" w:cstheme="minorHAnsi"/>
          <w:color w:val="000000" w:themeColor="text1"/>
          <w:sz w:val="22"/>
          <w:szCs w:val="22"/>
        </w:rPr>
        <w:lastRenderedPageBreak/>
        <w:t>disallow products that resemble typical foods, but then speak to whether they are required to be shelf-stable or require refrigeration (§ 40300), rather than simply disallowing.</w:t>
      </w:r>
    </w:p>
    <w:p w14:paraId="5D1FD36A" w14:textId="77777777" w:rsidR="001A7174" w:rsidRPr="007647B4" w:rsidRDefault="001A7174" w:rsidP="003B2510">
      <w:pPr>
        <w:jc w:val="both"/>
        <w:rPr>
          <w:rFonts w:asciiTheme="minorHAnsi" w:hAnsiTheme="minorHAnsi" w:cstheme="minorHAnsi"/>
          <w:color w:val="000000" w:themeColor="text1"/>
          <w:sz w:val="22"/>
          <w:szCs w:val="22"/>
        </w:rPr>
      </w:pPr>
    </w:p>
    <w:p w14:paraId="28FE7E53" w14:textId="7FE69961" w:rsidR="001A7174" w:rsidRPr="007647B4" w:rsidRDefault="001A7174"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At least two California jurisdictions (Mono County and Pasadena) have already taken the positive steps of banning cannabis-infused beverages and more may follow</w:t>
      </w:r>
      <w:r w:rsidR="003A6D45" w:rsidRPr="007647B4">
        <w:rPr>
          <w:rFonts w:asciiTheme="minorHAnsi" w:hAnsiTheme="minorHAnsi" w:cstheme="minorHAnsi"/>
          <w:color w:val="000000" w:themeColor="text1"/>
          <w:sz w:val="22"/>
          <w:szCs w:val="22"/>
        </w:rPr>
        <w:t>, how</w:t>
      </w:r>
      <w:r w:rsidRPr="007647B4">
        <w:rPr>
          <w:rFonts w:asciiTheme="minorHAnsi" w:hAnsiTheme="minorHAnsi" w:cstheme="minorHAnsi"/>
          <w:color w:val="000000" w:themeColor="text1"/>
          <w:sz w:val="22"/>
          <w:szCs w:val="22"/>
        </w:rPr>
        <w:t xml:space="preserve">ever this leadership should ideally come from the state. </w:t>
      </w:r>
    </w:p>
    <w:p w14:paraId="2B83C8FD" w14:textId="1328301E" w:rsidR="00316817" w:rsidRPr="007647B4" w:rsidRDefault="00316817" w:rsidP="003B2510">
      <w:pPr>
        <w:jc w:val="both"/>
        <w:rPr>
          <w:rFonts w:asciiTheme="minorHAnsi" w:hAnsiTheme="minorHAnsi" w:cstheme="minorHAnsi"/>
          <w:color w:val="000000" w:themeColor="text1"/>
          <w:sz w:val="22"/>
          <w:szCs w:val="22"/>
        </w:rPr>
      </w:pPr>
    </w:p>
    <w:p w14:paraId="736B2753" w14:textId="135C4111" w:rsidR="000B7EE5" w:rsidRPr="007647B4" w:rsidRDefault="000B7EE5" w:rsidP="003B2510">
      <w:pPr>
        <w:ind w:firstLine="720"/>
        <w:jc w:val="both"/>
        <w:rPr>
          <w:rFonts w:asciiTheme="minorHAnsi" w:hAnsiTheme="minorHAnsi" w:cstheme="minorHAnsi"/>
          <w:color w:val="000000" w:themeColor="text1"/>
          <w:sz w:val="22"/>
          <w:szCs w:val="22"/>
        </w:rPr>
      </w:pPr>
      <w:r w:rsidRPr="007647B4">
        <w:rPr>
          <w:rFonts w:asciiTheme="minorHAnsi" w:hAnsiTheme="minorHAnsi" w:cstheme="minorHAnsi"/>
          <w:b/>
          <w:color w:val="000000" w:themeColor="text1"/>
          <w:sz w:val="22"/>
          <w:szCs w:val="22"/>
        </w:rPr>
        <w:t>1.d</w:t>
      </w:r>
      <w:r w:rsidR="002F3B3D" w:rsidRPr="007647B4">
        <w:rPr>
          <w:rFonts w:asciiTheme="minorHAnsi" w:hAnsiTheme="minorHAnsi" w:cstheme="minorHAnsi"/>
          <w:b/>
          <w:color w:val="000000" w:themeColor="text1"/>
          <w:sz w:val="22"/>
          <w:szCs w:val="22"/>
        </w:rPr>
        <w:t>.</w:t>
      </w:r>
      <w:r w:rsidRPr="007647B4">
        <w:rPr>
          <w:rFonts w:asciiTheme="minorHAnsi" w:hAnsiTheme="minorHAnsi" w:cstheme="minorHAnsi"/>
          <w:b/>
          <w:color w:val="000000" w:themeColor="text1"/>
          <w:sz w:val="22"/>
          <w:szCs w:val="22"/>
        </w:rPr>
        <w:t>)</w:t>
      </w:r>
      <w:r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b/>
          <w:color w:val="000000" w:themeColor="text1"/>
          <w:sz w:val="22"/>
          <w:szCs w:val="22"/>
        </w:rPr>
        <w:t xml:space="preserve">Prohibit Infused </w:t>
      </w:r>
      <w:r w:rsidR="003A6D45" w:rsidRPr="007647B4">
        <w:rPr>
          <w:rFonts w:asciiTheme="minorHAnsi" w:hAnsiTheme="minorHAnsi" w:cstheme="minorHAnsi"/>
          <w:b/>
          <w:color w:val="000000" w:themeColor="text1"/>
          <w:sz w:val="22"/>
          <w:szCs w:val="22"/>
        </w:rPr>
        <w:t>Pre-Roll Cannabis Products (</w:t>
      </w:r>
      <w:r w:rsidRPr="007647B4">
        <w:rPr>
          <w:rFonts w:asciiTheme="minorHAnsi" w:hAnsiTheme="minorHAnsi" w:cstheme="minorHAnsi"/>
          <w:b/>
          <w:color w:val="000000" w:themeColor="text1"/>
          <w:sz w:val="22"/>
          <w:szCs w:val="22"/>
        </w:rPr>
        <w:t>§40100(w);</w:t>
      </w:r>
      <w:r w:rsidR="003A6D45" w:rsidRPr="007647B4">
        <w:rPr>
          <w:rFonts w:asciiTheme="minorHAnsi" w:hAnsiTheme="minorHAnsi" w:cstheme="minorHAnsi"/>
          <w:b/>
          <w:color w:val="000000" w:themeColor="text1"/>
          <w:sz w:val="22"/>
          <w:szCs w:val="22"/>
        </w:rPr>
        <w:t xml:space="preserve"> §</w:t>
      </w:r>
      <w:r w:rsidRPr="007647B4">
        <w:rPr>
          <w:rFonts w:asciiTheme="minorHAnsi" w:hAnsiTheme="minorHAnsi" w:cstheme="minorHAnsi"/>
          <w:b/>
          <w:color w:val="000000" w:themeColor="text1"/>
          <w:sz w:val="22"/>
          <w:szCs w:val="22"/>
        </w:rPr>
        <w:t>40120; §40300; 40315</w:t>
      </w:r>
      <w:r w:rsidR="003A6D45" w:rsidRPr="007647B4">
        <w:rPr>
          <w:rFonts w:asciiTheme="minorHAnsi" w:hAnsiTheme="minorHAnsi" w:cstheme="minorHAnsi"/>
          <w:b/>
          <w:color w:val="000000" w:themeColor="text1"/>
          <w:sz w:val="22"/>
          <w:szCs w:val="22"/>
        </w:rPr>
        <w:t>)</w:t>
      </w:r>
    </w:p>
    <w:p w14:paraId="70D08AF2" w14:textId="77777777" w:rsidR="000B7EE5" w:rsidRPr="007647B4" w:rsidRDefault="000B7EE5" w:rsidP="003B2510">
      <w:pPr>
        <w:jc w:val="both"/>
        <w:rPr>
          <w:rFonts w:asciiTheme="minorHAnsi" w:hAnsiTheme="minorHAnsi" w:cstheme="minorHAnsi"/>
          <w:color w:val="000000" w:themeColor="text1"/>
          <w:sz w:val="22"/>
          <w:szCs w:val="22"/>
        </w:rPr>
      </w:pPr>
    </w:p>
    <w:p w14:paraId="0B6F4B98" w14:textId="115D38A4" w:rsidR="000B7EE5" w:rsidRPr="007647B4" w:rsidRDefault="000B7EE5"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CDPH’s decision to allow a new type of product called an “infused pre-roll” is deeply concerning from a public health perspective. Infusion of plant material that is intended to be smoked poses a public health risk both due to harmful additives and potency concerns. Authorizing manufacturers to increase the potency (and thus addictive potential) of pre-rolled, smoke-able cannabis may allow or encourage them to follow the practices of the tobacco industry, which has continually manipulated levels of specific chemicals (including nicotine, ammonia, and sugar) to increase the addictive potential by manipulating delivered dose and bioavailability of nicotine.</w:t>
      </w:r>
      <w:r w:rsidRPr="007647B4">
        <w:rPr>
          <w:rStyle w:val="FootnoteReference"/>
          <w:rFonts w:asciiTheme="minorHAnsi" w:hAnsiTheme="minorHAnsi" w:cstheme="minorHAnsi"/>
          <w:color w:val="000000" w:themeColor="text1"/>
          <w:sz w:val="22"/>
          <w:szCs w:val="22"/>
        </w:rPr>
        <w:footnoteReference w:id="79"/>
      </w:r>
      <w:r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b/>
          <w:color w:val="000000" w:themeColor="text1"/>
          <w:sz w:val="22"/>
          <w:szCs w:val="22"/>
        </w:rPr>
        <w:t xml:space="preserve">The Department’s proposed approach here is particularly risky because there are no apparent THC concentration limits on infused pre-rolls and manufacturers may choose for themselves how to report THC </w:t>
      </w:r>
      <w:r w:rsidRPr="007647B4">
        <w:rPr>
          <w:rFonts w:asciiTheme="minorHAnsi" w:hAnsiTheme="minorHAnsi" w:cstheme="minorHAnsi"/>
          <w:b/>
          <w:color w:val="000000" w:themeColor="text1"/>
          <w:sz w:val="22"/>
          <w:szCs w:val="22"/>
        </w:rPr>
        <w:tab/>
        <w:t>concentration</w:t>
      </w:r>
      <w:r w:rsidR="003B2510" w:rsidRPr="007647B4">
        <w:rPr>
          <w:rFonts w:asciiTheme="minorHAnsi" w:hAnsiTheme="minorHAnsi" w:cstheme="minorHAnsi"/>
          <w:b/>
          <w:color w:val="000000" w:themeColor="text1"/>
          <w:sz w:val="22"/>
          <w:szCs w:val="22"/>
        </w:rPr>
        <w:t xml:space="preserve"> </w:t>
      </w:r>
      <w:r w:rsidRPr="007647B4">
        <w:rPr>
          <w:rFonts w:asciiTheme="minorHAnsi" w:hAnsiTheme="minorHAnsi" w:cstheme="minorHAnsi"/>
          <w:b/>
          <w:color w:val="000000" w:themeColor="text1"/>
          <w:sz w:val="22"/>
          <w:szCs w:val="22"/>
        </w:rPr>
        <w:t>in these high-potency products (§40409(d)).</w:t>
      </w:r>
      <w:r w:rsidRPr="007647B4">
        <w:rPr>
          <w:rFonts w:asciiTheme="minorHAnsi" w:hAnsiTheme="minorHAnsi" w:cstheme="minorHAnsi"/>
          <w:color w:val="000000" w:themeColor="text1"/>
          <w:sz w:val="22"/>
          <w:szCs w:val="22"/>
        </w:rPr>
        <w:t xml:space="preserve"> </w:t>
      </w:r>
    </w:p>
    <w:p w14:paraId="47B3CC6D" w14:textId="77777777" w:rsidR="000B7EE5" w:rsidRPr="007647B4" w:rsidRDefault="000B7EE5" w:rsidP="003B2510">
      <w:pPr>
        <w:jc w:val="both"/>
        <w:rPr>
          <w:rFonts w:asciiTheme="minorHAnsi" w:hAnsiTheme="minorHAnsi" w:cstheme="minorHAnsi"/>
          <w:b/>
          <w:color w:val="000000" w:themeColor="text1"/>
          <w:sz w:val="22"/>
          <w:szCs w:val="22"/>
        </w:rPr>
      </w:pPr>
    </w:p>
    <w:p w14:paraId="57B65301" w14:textId="003949FE" w:rsidR="000B7EE5" w:rsidRPr="007647B4" w:rsidRDefault="000B7EE5" w:rsidP="003B2510">
      <w:pPr>
        <w:jc w:val="both"/>
        <w:rPr>
          <w:rFonts w:asciiTheme="minorHAnsi" w:hAnsiTheme="minorHAnsi" w:cstheme="minorHAnsi"/>
          <w:sz w:val="22"/>
          <w:szCs w:val="22"/>
        </w:rPr>
      </w:pPr>
      <w:r w:rsidRPr="007647B4">
        <w:rPr>
          <w:rFonts w:asciiTheme="minorHAnsi" w:hAnsiTheme="minorHAnsi" w:cstheme="minorHAnsi"/>
          <w:color w:val="000000" w:themeColor="text1"/>
          <w:sz w:val="22"/>
          <w:szCs w:val="22"/>
        </w:rPr>
        <w:t xml:space="preserve">Infused pre-rolls are defined in the proposed regulations as </w:t>
      </w:r>
      <w:r w:rsidRPr="007647B4">
        <w:rPr>
          <w:rFonts w:asciiTheme="minorHAnsi" w:hAnsiTheme="minorHAnsi" w:cstheme="minorHAnsi"/>
          <w:sz w:val="22"/>
          <w:szCs w:val="22"/>
        </w:rPr>
        <w:t>“a pre-roll into which cannabis concentrate (other than kief) or other ingredients have been incorporated.” §</w:t>
      </w:r>
      <w:r w:rsidR="00550815" w:rsidRPr="007647B4">
        <w:rPr>
          <w:rFonts w:asciiTheme="minorHAnsi" w:hAnsiTheme="minorHAnsi" w:cstheme="minorHAnsi"/>
          <w:sz w:val="22"/>
          <w:szCs w:val="22"/>
        </w:rPr>
        <w:t xml:space="preserve"> </w:t>
      </w:r>
      <w:r w:rsidRPr="007647B4">
        <w:rPr>
          <w:rFonts w:asciiTheme="minorHAnsi" w:hAnsiTheme="minorHAnsi" w:cstheme="minorHAnsi"/>
          <w:sz w:val="22"/>
          <w:szCs w:val="22"/>
        </w:rPr>
        <w:t xml:space="preserve">40100(w). Pre-rolls are defined as any combination of flower, shake, leaf or </w:t>
      </w:r>
      <w:proofErr w:type="spellStart"/>
      <w:r w:rsidRPr="007647B4">
        <w:rPr>
          <w:rFonts w:asciiTheme="minorHAnsi" w:hAnsiTheme="minorHAnsi" w:cstheme="minorHAnsi"/>
          <w:sz w:val="22"/>
          <w:szCs w:val="22"/>
        </w:rPr>
        <w:t>ki</w:t>
      </w:r>
      <w:r w:rsidR="00550815" w:rsidRPr="007647B4">
        <w:rPr>
          <w:rFonts w:asciiTheme="minorHAnsi" w:hAnsiTheme="minorHAnsi" w:cstheme="minorHAnsi"/>
          <w:sz w:val="22"/>
          <w:szCs w:val="22"/>
        </w:rPr>
        <w:t>e</w:t>
      </w:r>
      <w:r w:rsidRPr="007647B4">
        <w:rPr>
          <w:rFonts w:asciiTheme="minorHAnsi" w:hAnsiTheme="minorHAnsi" w:cstheme="minorHAnsi"/>
          <w:sz w:val="22"/>
          <w:szCs w:val="22"/>
        </w:rPr>
        <w:t>f</w:t>
      </w:r>
      <w:proofErr w:type="spellEnd"/>
      <w:r w:rsidRPr="007647B4">
        <w:rPr>
          <w:rFonts w:asciiTheme="minorHAnsi" w:hAnsiTheme="minorHAnsi" w:cstheme="minorHAnsi"/>
          <w:sz w:val="22"/>
          <w:szCs w:val="22"/>
        </w:rPr>
        <w:t xml:space="preserve"> rolled in paper (§</w:t>
      </w:r>
      <w:r w:rsidR="00550815" w:rsidRPr="007647B4">
        <w:rPr>
          <w:rFonts w:asciiTheme="minorHAnsi" w:hAnsiTheme="minorHAnsi" w:cstheme="minorHAnsi"/>
          <w:sz w:val="22"/>
          <w:szCs w:val="22"/>
        </w:rPr>
        <w:t xml:space="preserve"> </w:t>
      </w:r>
      <w:r w:rsidRPr="007647B4">
        <w:rPr>
          <w:rFonts w:asciiTheme="minorHAnsi" w:hAnsiTheme="minorHAnsi" w:cstheme="minorHAnsi"/>
          <w:sz w:val="22"/>
          <w:szCs w:val="22"/>
        </w:rPr>
        <w:t>40100(</w:t>
      </w:r>
      <w:proofErr w:type="spellStart"/>
      <w:r w:rsidRPr="007647B4">
        <w:rPr>
          <w:rFonts w:asciiTheme="minorHAnsi" w:hAnsiTheme="minorHAnsi" w:cstheme="minorHAnsi"/>
          <w:sz w:val="22"/>
          <w:szCs w:val="22"/>
        </w:rPr>
        <w:t>ll</w:t>
      </w:r>
      <w:proofErr w:type="spellEnd"/>
      <w:r w:rsidRPr="007647B4">
        <w:rPr>
          <w:rFonts w:asciiTheme="minorHAnsi" w:hAnsiTheme="minorHAnsi" w:cstheme="minorHAnsi"/>
          <w:sz w:val="22"/>
          <w:szCs w:val="22"/>
        </w:rPr>
        <w:t xml:space="preserve">)). Infused pre-rolls are not edibles, orally-disintegrating products, concentrates, or topicals and as such do not appear to fall under any of the categories of THC concentration limits set forth in section 40315. Furthermore, while the </w:t>
      </w:r>
      <w:r w:rsidRPr="007647B4">
        <w:rPr>
          <w:rFonts w:asciiTheme="minorHAnsi" w:hAnsiTheme="minorHAnsi" w:cstheme="minorHAnsi"/>
          <w:b/>
          <w:sz w:val="22"/>
          <w:szCs w:val="22"/>
        </w:rPr>
        <w:t>added</w:t>
      </w:r>
      <w:r w:rsidRPr="007647B4">
        <w:rPr>
          <w:rFonts w:asciiTheme="minorHAnsi" w:hAnsiTheme="minorHAnsi" w:cstheme="minorHAnsi"/>
          <w:sz w:val="22"/>
          <w:szCs w:val="22"/>
        </w:rPr>
        <w:t xml:space="preserve"> concentrate in the infused pre-roll cannot exceed 1,000mg THC (§</w:t>
      </w:r>
      <w:r w:rsidR="00550815" w:rsidRPr="007647B4">
        <w:rPr>
          <w:rFonts w:asciiTheme="minorHAnsi" w:hAnsiTheme="minorHAnsi" w:cstheme="minorHAnsi"/>
          <w:sz w:val="22"/>
          <w:szCs w:val="22"/>
        </w:rPr>
        <w:t xml:space="preserve"> </w:t>
      </w:r>
      <w:r w:rsidRPr="007647B4">
        <w:rPr>
          <w:rFonts w:asciiTheme="minorHAnsi" w:hAnsiTheme="minorHAnsi" w:cstheme="minorHAnsi"/>
          <w:sz w:val="22"/>
          <w:szCs w:val="22"/>
        </w:rPr>
        <w:t xml:space="preserve">40315(c)), this 1,000mg of additive is in </w:t>
      </w:r>
      <w:r w:rsidRPr="007647B4">
        <w:rPr>
          <w:rFonts w:asciiTheme="minorHAnsi" w:hAnsiTheme="minorHAnsi" w:cstheme="minorHAnsi"/>
          <w:b/>
          <w:sz w:val="22"/>
          <w:szCs w:val="22"/>
        </w:rPr>
        <w:t>addition to the content in the plant itself</w:t>
      </w:r>
      <w:r w:rsidRPr="007647B4">
        <w:rPr>
          <w:rFonts w:asciiTheme="minorHAnsi" w:hAnsiTheme="minorHAnsi" w:cstheme="minorHAnsi"/>
          <w:sz w:val="22"/>
          <w:szCs w:val="22"/>
        </w:rPr>
        <w:t xml:space="preserve"> allowing for a dangerously high-potency product that is out of step with CDPH’s overall approach to allowable THC concentration. High-potency concentrates present unique and serious health risks including increased dependence risks,</w:t>
      </w:r>
      <w:r w:rsidRPr="007647B4">
        <w:rPr>
          <w:rStyle w:val="FootnoteReference"/>
          <w:rFonts w:asciiTheme="minorHAnsi" w:hAnsiTheme="minorHAnsi" w:cstheme="minorHAnsi"/>
          <w:sz w:val="22"/>
          <w:szCs w:val="22"/>
        </w:rPr>
        <w:footnoteReference w:id="80"/>
      </w:r>
      <w:r w:rsidRPr="007647B4">
        <w:rPr>
          <w:rFonts w:asciiTheme="minorHAnsi" w:hAnsiTheme="minorHAnsi" w:cstheme="minorHAnsi"/>
          <w:sz w:val="22"/>
          <w:szCs w:val="22"/>
        </w:rPr>
        <w:t xml:space="preserve"> and have been linked to psychosis in case reports.</w:t>
      </w:r>
      <w:r w:rsidRPr="007647B4">
        <w:rPr>
          <w:rStyle w:val="FootnoteReference"/>
          <w:rFonts w:asciiTheme="minorHAnsi" w:hAnsiTheme="minorHAnsi" w:cstheme="minorHAnsi"/>
          <w:sz w:val="22"/>
          <w:szCs w:val="22"/>
        </w:rPr>
        <w:footnoteReference w:id="81"/>
      </w:r>
      <w:r w:rsidRPr="007647B4">
        <w:rPr>
          <w:rFonts w:asciiTheme="minorHAnsi" w:hAnsiTheme="minorHAnsi" w:cstheme="minorHAnsi"/>
          <w:sz w:val="22"/>
          <w:szCs w:val="22"/>
        </w:rPr>
        <w:t xml:space="preserve"> These risks would be magnified by allowing concentrates to be added to easy-to-use products like infused pre-rolls.</w:t>
      </w:r>
      <w:r w:rsidR="00DA6B6F" w:rsidRPr="007647B4">
        <w:rPr>
          <w:rFonts w:asciiTheme="minorHAnsi" w:hAnsiTheme="minorHAnsi" w:cstheme="minorHAnsi"/>
          <w:sz w:val="22"/>
          <w:szCs w:val="22"/>
        </w:rPr>
        <w:t xml:space="preserve"> </w:t>
      </w:r>
      <w:r w:rsidRPr="007647B4">
        <w:rPr>
          <w:rFonts w:asciiTheme="minorHAnsi" w:hAnsiTheme="minorHAnsi" w:cstheme="minorHAnsi"/>
          <w:sz w:val="22"/>
          <w:szCs w:val="22"/>
        </w:rPr>
        <w:t xml:space="preserve">See also comments under </w:t>
      </w:r>
      <w:r w:rsidR="003B2510" w:rsidRPr="007647B4">
        <w:rPr>
          <w:rFonts w:asciiTheme="minorHAnsi" w:hAnsiTheme="minorHAnsi" w:cstheme="minorHAnsi"/>
          <w:sz w:val="22"/>
          <w:szCs w:val="22"/>
        </w:rPr>
        <w:t xml:space="preserve">section 1(a) </w:t>
      </w:r>
      <w:r w:rsidRPr="007647B4">
        <w:rPr>
          <w:rFonts w:asciiTheme="minorHAnsi" w:hAnsiTheme="minorHAnsi" w:cstheme="minorHAnsi"/>
          <w:sz w:val="22"/>
          <w:szCs w:val="22"/>
        </w:rPr>
        <w:t xml:space="preserve">on potency. </w:t>
      </w:r>
    </w:p>
    <w:p w14:paraId="089B2C4D" w14:textId="77777777" w:rsidR="000B7EE5" w:rsidRPr="007647B4" w:rsidRDefault="000B7EE5" w:rsidP="003B2510">
      <w:pPr>
        <w:jc w:val="both"/>
        <w:rPr>
          <w:rFonts w:asciiTheme="minorHAnsi" w:hAnsiTheme="minorHAnsi" w:cstheme="minorHAnsi"/>
          <w:sz w:val="22"/>
          <w:szCs w:val="22"/>
        </w:rPr>
      </w:pPr>
    </w:p>
    <w:p w14:paraId="5346723B" w14:textId="77777777" w:rsidR="003A6D45" w:rsidRPr="007647B4" w:rsidRDefault="000B7EE5" w:rsidP="003B2510">
      <w:pPr>
        <w:jc w:val="both"/>
        <w:rPr>
          <w:rFonts w:asciiTheme="minorHAnsi" w:hAnsiTheme="minorHAnsi" w:cstheme="minorHAnsi"/>
          <w:b/>
          <w:sz w:val="22"/>
          <w:szCs w:val="22"/>
        </w:rPr>
      </w:pPr>
      <w:r w:rsidRPr="007647B4">
        <w:rPr>
          <w:rFonts w:asciiTheme="minorHAnsi" w:hAnsiTheme="minorHAnsi" w:cstheme="minorHAnsi"/>
          <w:sz w:val="22"/>
          <w:szCs w:val="22"/>
        </w:rPr>
        <w:t>Additionally, CDPH proposes in section 40409(d) to allow manufacturers to determine for themselves how to best label THC content in their products (whether in milligrams or in both percentage in the flower and in milligrams added in the concentrate 40409(d)). Although the stated reason for such a rule is to allow manufacturers to choose the method that is “most meaningful for consumers based on the specifics of the product,”</w:t>
      </w:r>
      <w:r w:rsidRPr="007647B4">
        <w:rPr>
          <w:rStyle w:val="FootnoteReference"/>
          <w:rFonts w:asciiTheme="minorHAnsi" w:hAnsiTheme="minorHAnsi" w:cstheme="minorHAnsi"/>
          <w:sz w:val="22"/>
          <w:szCs w:val="22"/>
        </w:rPr>
        <w:footnoteReference w:id="82"/>
      </w:r>
      <w:r w:rsidRPr="007647B4">
        <w:rPr>
          <w:rFonts w:asciiTheme="minorHAnsi" w:hAnsiTheme="minorHAnsi" w:cstheme="minorHAnsi"/>
          <w:sz w:val="22"/>
          <w:szCs w:val="22"/>
        </w:rPr>
        <w:t xml:space="preserve"> this has the potential to result in a bad actor </w:t>
      </w:r>
      <w:proofErr w:type="gramStart"/>
      <w:r w:rsidRPr="007647B4">
        <w:rPr>
          <w:rFonts w:asciiTheme="minorHAnsi" w:hAnsiTheme="minorHAnsi" w:cstheme="minorHAnsi"/>
          <w:sz w:val="22"/>
          <w:szCs w:val="22"/>
        </w:rPr>
        <w:t>intentionally misleading consumers</w:t>
      </w:r>
      <w:proofErr w:type="gramEnd"/>
      <w:r w:rsidRPr="007647B4">
        <w:rPr>
          <w:rFonts w:asciiTheme="minorHAnsi" w:hAnsiTheme="minorHAnsi" w:cstheme="minorHAnsi"/>
          <w:sz w:val="22"/>
          <w:szCs w:val="22"/>
        </w:rPr>
        <w:t xml:space="preserve">. As a result, if the department decides to allow infused pre-rolls to be sold, </w:t>
      </w:r>
      <w:r w:rsidRPr="007647B4">
        <w:rPr>
          <w:rFonts w:asciiTheme="minorHAnsi" w:hAnsiTheme="minorHAnsi" w:cstheme="minorHAnsi"/>
          <w:b/>
          <w:sz w:val="22"/>
          <w:szCs w:val="22"/>
        </w:rPr>
        <w:t xml:space="preserve">CDPH must mandate the appropriate method of reporting THC content in these products. </w:t>
      </w:r>
    </w:p>
    <w:p w14:paraId="1B67CD3C" w14:textId="77777777" w:rsidR="003A6D45" w:rsidRPr="007647B4" w:rsidRDefault="003A6D45" w:rsidP="003B2510">
      <w:pPr>
        <w:jc w:val="both"/>
        <w:rPr>
          <w:rFonts w:asciiTheme="minorHAnsi" w:hAnsiTheme="minorHAnsi" w:cstheme="minorHAnsi"/>
          <w:b/>
          <w:sz w:val="22"/>
          <w:szCs w:val="22"/>
        </w:rPr>
      </w:pPr>
    </w:p>
    <w:p w14:paraId="43FF3EC5" w14:textId="2B0D538E" w:rsidR="000B7EE5" w:rsidRPr="007647B4" w:rsidRDefault="000B7EE5" w:rsidP="003B2510">
      <w:pPr>
        <w:jc w:val="both"/>
        <w:rPr>
          <w:rFonts w:asciiTheme="minorHAnsi" w:hAnsiTheme="minorHAnsi" w:cstheme="minorHAnsi"/>
          <w:b/>
          <w:sz w:val="22"/>
          <w:szCs w:val="22"/>
        </w:rPr>
      </w:pPr>
      <w:r w:rsidRPr="007647B4">
        <w:rPr>
          <w:rFonts w:asciiTheme="minorHAnsi" w:hAnsiTheme="minorHAnsi" w:cstheme="minorHAnsi"/>
          <w:b/>
          <w:sz w:val="22"/>
          <w:szCs w:val="22"/>
        </w:rPr>
        <w:t xml:space="preserve">We recommend that the labelling require both % THC by weight and total mg </w:t>
      </w:r>
      <w:r w:rsidR="007647B4">
        <w:rPr>
          <w:rFonts w:asciiTheme="minorHAnsi" w:hAnsiTheme="minorHAnsi" w:cstheme="minorHAnsi"/>
          <w:b/>
          <w:sz w:val="22"/>
          <w:szCs w:val="22"/>
        </w:rPr>
        <w:t>of THC in a pre-roll product.</w:t>
      </w:r>
    </w:p>
    <w:p w14:paraId="3217D945" w14:textId="77777777" w:rsidR="000B7EE5" w:rsidRPr="007647B4" w:rsidRDefault="000B7EE5" w:rsidP="003B2510">
      <w:pPr>
        <w:jc w:val="both"/>
        <w:rPr>
          <w:rFonts w:asciiTheme="minorHAnsi" w:hAnsiTheme="minorHAnsi" w:cstheme="minorHAnsi"/>
          <w:b/>
          <w:sz w:val="22"/>
          <w:szCs w:val="22"/>
        </w:rPr>
      </w:pPr>
    </w:p>
    <w:p w14:paraId="57F6ED67" w14:textId="30D83605" w:rsidR="000B7EE5" w:rsidRPr="007647B4" w:rsidRDefault="000B7EE5" w:rsidP="003B2510">
      <w:pPr>
        <w:jc w:val="both"/>
        <w:rPr>
          <w:rFonts w:asciiTheme="minorHAnsi" w:hAnsiTheme="minorHAnsi" w:cstheme="minorHAnsi"/>
          <w:sz w:val="22"/>
          <w:szCs w:val="22"/>
        </w:rPr>
      </w:pPr>
      <w:r w:rsidRPr="007647B4">
        <w:rPr>
          <w:rFonts w:asciiTheme="minorHAnsi" w:hAnsiTheme="minorHAnsi" w:cstheme="minorHAnsi"/>
          <w:sz w:val="22"/>
          <w:szCs w:val="22"/>
        </w:rPr>
        <w:lastRenderedPageBreak/>
        <w:t>The fact that experienced users might choose to mix concentrates and plant materials on their own does not mean that CDPH should authorize such products to be sold in ready-to-use form. CDPH already prohibits the retail sale of certain types of products combined with cannabis (for instance, alcohol, tobacco, and caffeine) (§</w:t>
      </w:r>
      <w:r w:rsidR="00550815" w:rsidRPr="007647B4">
        <w:rPr>
          <w:rFonts w:asciiTheme="minorHAnsi" w:hAnsiTheme="minorHAnsi" w:cstheme="minorHAnsi"/>
          <w:sz w:val="22"/>
          <w:szCs w:val="22"/>
        </w:rPr>
        <w:t xml:space="preserve"> </w:t>
      </w:r>
      <w:r w:rsidRPr="007647B4">
        <w:rPr>
          <w:rFonts w:asciiTheme="minorHAnsi" w:hAnsiTheme="minorHAnsi" w:cstheme="minorHAnsi"/>
          <w:sz w:val="22"/>
          <w:szCs w:val="22"/>
        </w:rPr>
        <w:t xml:space="preserve">40300(a)-(b)) because there is a public health rationale for prohibiting unsafe combination products. </w:t>
      </w:r>
      <w:r w:rsidRPr="007647B4">
        <w:rPr>
          <w:rFonts w:asciiTheme="minorHAnsi" w:hAnsiTheme="minorHAnsi" w:cstheme="minorHAnsi"/>
          <w:b/>
          <w:sz w:val="22"/>
          <w:szCs w:val="22"/>
        </w:rPr>
        <w:t xml:space="preserve">We recommend not allowing </w:t>
      </w:r>
      <w:r w:rsidR="00535B7B" w:rsidRPr="007647B4">
        <w:rPr>
          <w:rFonts w:asciiTheme="minorHAnsi" w:hAnsiTheme="minorHAnsi" w:cstheme="minorHAnsi"/>
          <w:b/>
          <w:sz w:val="22"/>
          <w:szCs w:val="22"/>
        </w:rPr>
        <w:t xml:space="preserve">manufacture of these </w:t>
      </w:r>
      <w:r w:rsidRPr="007647B4">
        <w:rPr>
          <w:rFonts w:asciiTheme="minorHAnsi" w:hAnsiTheme="minorHAnsi" w:cstheme="minorHAnsi"/>
          <w:b/>
          <w:sz w:val="22"/>
          <w:szCs w:val="22"/>
        </w:rPr>
        <w:t>products</w:t>
      </w:r>
      <w:r w:rsidRPr="007647B4">
        <w:rPr>
          <w:rFonts w:asciiTheme="minorHAnsi" w:hAnsiTheme="minorHAnsi" w:cstheme="minorHAnsi"/>
          <w:sz w:val="22"/>
          <w:szCs w:val="22"/>
        </w:rPr>
        <w:t>. If CDPH continues to allow them, it should require a clear separation of products containing solely plant material from those containing concentrates and other additives.</w:t>
      </w:r>
      <w:r w:rsidR="00DA6B6F" w:rsidRPr="007647B4">
        <w:rPr>
          <w:rFonts w:asciiTheme="minorHAnsi" w:hAnsiTheme="minorHAnsi" w:cstheme="minorHAnsi"/>
          <w:sz w:val="22"/>
          <w:szCs w:val="22"/>
        </w:rPr>
        <w:t xml:space="preserve"> </w:t>
      </w:r>
    </w:p>
    <w:p w14:paraId="00F9EF5D" w14:textId="0F608014" w:rsidR="00887F44" w:rsidRPr="007647B4" w:rsidRDefault="00887F44" w:rsidP="003B2510">
      <w:pPr>
        <w:jc w:val="both"/>
        <w:rPr>
          <w:rFonts w:asciiTheme="minorHAnsi" w:hAnsiTheme="minorHAnsi" w:cstheme="minorHAnsi"/>
          <w:color w:val="000000" w:themeColor="text1"/>
          <w:sz w:val="22"/>
          <w:szCs w:val="22"/>
        </w:rPr>
      </w:pPr>
    </w:p>
    <w:p w14:paraId="041E4913" w14:textId="4E2FDEFA" w:rsidR="00887F44" w:rsidRPr="007647B4" w:rsidRDefault="00A4255B" w:rsidP="002F3B3D">
      <w:pPr>
        <w:jc w:val="both"/>
        <w:rPr>
          <w:rFonts w:asciiTheme="minorHAnsi" w:hAnsiTheme="minorHAnsi" w:cstheme="minorHAnsi"/>
          <w:b/>
          <w:color w:val="000000" w:themeColor="text1"/>
          <w:sz w:val="22"/>
          <w:szCs w:val="22"/>
        </w:rPr>
      </w:pPr>
      <w:r w:rsidRPr="007647B4">
        <w:rPr>
          <w:rFonts w:asciiTheme="minorHAnsi" w:hAnsiTheme="minorHAnsi" w:cstheme="minorHAnsi"/>
          <w:b/>
          <w:color w:val="000000" w:themeColor="text1"/>
          <w:sz w:val="22"/>
          <w:szCs w:val="22"/>
        </w:rPr>
        <w:t>2</w:t>
      </w:r>
      <w:r w:rsidR="00887F44" w:rsidRPr="007647B4">
        <w:rPr>
          <w:rFonts w:asciiTheme="minorHAnsi" w:hAnsiTheme="minorHAnsi" w:cstheme="minorHAnsi"/>
          <w:b/>
          <w:color w:val="000000" w:themeColor="text1"/>
          <w:sz w:val="22"/>
          <w:szCs w:val="22"/>
        </w:rPr>
        <w:t>.</w:t>
      </w:r>
      <w:r w:rsidR="00887F44" w:rsidRPr="007647B4">
        <w:rPr>
          <w:rFonts w:asciiTheme="minorHAnsi" w:hAnsiTheme="minorHAnsi" w:cstheme="minorHAnsi"/>
          <w:color w:val="000000" w:themeColor="text1"/>
          <w:sz w:val="22"/>
          <w:szCs w:val="22"/>
        </w:rPr>
        <w:t xml:space="preserve"> </w:t>
      </w:r>
      <w:r w:rsidR="00887F44" w:rsidRPr="007647B4">
        <w:rPr>
          <w:rFonts w:asciiTheme="minorHAnsi" w:hAnsiTheme="minorHAnsi" w:cstheme="minorHAnsi"/>
          <w:b/>
          <w:color w:val="000000" w:themeColor="text1"/>
          <w:sz w:val="22"/>
          <w:szCs w:val="22"/>
        </w:rPr>
        <w:t>Clarify Types of Changes that Necessitate Updating a Manufacturer’s Product List (§</w:t>
      </w:r>
      <w:r w:rsidR="00550815" w:rsidRPr="007647B4">
        <w:rPr>
          <w:rFonts w:asciiTheme="minorHAnsi" w:hAnsiTheme="minorHAnsi" w:cstheme="minorHAnsi"/>
          <w:b/>
          <w:color w:val="000000" w:themeColor="text1"/>
          <w:sz w:val="22"/>
          <w:szCs w:val="22"/>
        </w:rPr>
        <w:t xml:space="preserve"> </w:t>
      </w:r>
      <w:r w:rsidR="00887F44" w:rsidRPr="007647B4">
        <w:rPr>
          <w:rFonts w:asciiTheme="minorHAnsi" w:hAnsiTheme="minorHAnsi" w:cstheme="minorHAnsi"/>
          <w:b/>
          <w:color w:val="000000" w:themeColor="text1"/>
          <w:sz w:val="22"/>
          <w:szCs w:val="22"/>
        </w:rPr>
        <w:t>40131(d); 40177(f))</w:t>
      </w:r>
    </w:p>
    <w:p w14:paraId="34A7C977" w14:textId="23E8B6C5" w:rsidR="00887F44" w:rsidRPr="007647B4" w:rsidRDefault="00887F44" w:rsidP="003B2510">
      <w:pPr>
        <w:jc w:val="both"/>
        <w:rPr>
          <w:rFonts w:asciiTheme="minorHAnsi" w:hAnsiTheme="minorHAnsi" w:cstheme="minorHAnsi"/>
          <w:b/>
          <w:color w:val="000000" w:themeColor="text1"/>
          <w:sz w:val="22"/>
          <w:szCs w:val="22"/>
        </w:rPr>
      </w:pPr>
    </w:p>
    <w:p w14:paraId="31B8638E" w14:textId="61DF151B" w:rsidR="00887F44" w:rsidRPr="007647B4" w:rsidRDefault="009E483B" w:rsidP="003B2510">
      <w:pPr>
        <w:jc w:val="both"/>
        <w:rPr>
          <w:rFonts w:asciiTheme="minorHAnsi" w:hAnsiTheme="minorHAnsi" w:cstheme="minorHAnsi"/>
          <w:b/>
          <w:color w:val="000000" w:themeColor="text1"/>
          <w:sz w:val="22"/>
          <w:szCs w:val="22"/>
        </w:rPr>
      </w:pPr>
      <w:r w:rsidRPr="007647B4">
        <w:rPr>
          <w:rFonts w:asciiTheme="minorHAnsi" w:hAnsiTheme="minorHAnsi" w:cstheme="minorHAnsi"/>
          <w:color w:val="000000" w:themeColor="text1"/>
          <w:sz w:val="22"/>
          <w:szCs w:val="22"/>
        </w:rPr>
        <w:t xml:space="preserve">Section 40177(f) mandates that a licensee notify CDPH of any changes to its product list within 10 days of making any changes. This is an important regulation that will help facilitate CDPH’s enforcement activities. </w:t>
      </w:r>
      <w:r w:rsidRPr="007647B4">
        <w:rPr>
          <w:rFonts w:asciiTheme="minorHAnsi" w:hAnsiTheme="minorHAnsi" w:cstheme="minorHAnsi"/>
          <w:b/>
          <w:color w:val="000000" w:themeColor="text1"/>
          <w:sz w:val="22"/>
          <w:szCs w:val="22"/>
        </w:rPr>
        <w:t>However, in order to ensure compliance, CDPH should clarify what types of changes necessitate updating the product list.</w:t>
      </w:r>
    </w:p>
    <w:p w14:paraId="4639927C" w14:textId="29B58B8B" w:rsidR="009E483B" w:rsidRPr="007647B4" w:rsidRDefault="009E483B" w:rsidP="003B2510">
      <w:pPr>
        <w:jc w:val="both"/>
        <w:rPr>
          <w:rFonts w:asciiTheme="minorHAnsi" w:hAnsiTheme="minorHAnsi" w:cstheme="minorHAnsi"/>
          <w:b/>
          <w:color w:val="000000" w:themeColor="text1"/>
          <w:sz w:val="22"/>
          <w:szCs w:val="22"/>
        </w:rPr>
      </w:pPr>
    </w:p>
    <w:p w14:paraId="34B72DF0" w14:textId="71559E06" w:rsidR="009E483B" w:rsidRPr="007647B4" w:rsidRDefault="009E483B"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The regulations require that licensees update CDPH whenever “substantial or material alterations” are made to the physical premises. The ISOR provides several examples of the types of alterations that would require an update, including moving a doorway, entryway or interior partition</w:t>
      </w:r>
      <w:r w:rsidR="00B01B4A" w:rsidRPr="007647B4">
        <w:rPr>
          <w:rFonts w:asciiTheme="minorHAnsi" w:hAnsiTheme="minorHAnsi" w:cstheme="minorHAnsi"/>
          <w:color w:val="000000" w:themeColor="text1"/>
          <w:sz w:val="22"/>
          <w:szCs w:val="22"/>
        </w:rPr>
        <w:t>. Likewise, CDPH should clarify what product changes are significant enough to require updating the product list. For example, the addition of some chemicals to inhaled products may present health risks</w:t>
      </w:r>
      <w:r w:rsidR="00C067DC" w:rsidRPr="007647B4">
        <w:rPr>
          <w:rStyle w:val="FootnoteReference"/>
          <w:rFonts w:asciiTheme="minorHAnsi" w:hAnsiTheme="minorHAnsi" w:cstheme="minorHAnsi"/>
          <w:color w:val="000000" w:themeColor="text1"/>
          <w:sz w:val="22"/>
          <w:szCs w:val="22"/>
        </w:rPr>
        <w:footnoteReference w:id="83"/>
      </w:r>
      <w:r w:rsidR="00E92CE0" w:rsidRPr="007647B4">
        <w:rPr>
          <w:rFonts w:asciiTheme="minorHAnsi" w:hAnsiTheme="minorHAnsi" w:cstheme="minorHAnsi"/>
          <w:color w:val="000000" w:themeColor="text1"/>
          <w:sz w:val="22"/>
          <w:szCs w:val="22"/>
          <w:vertAlign w:val="superscript"/>
        </w:rPr>
        <w:t>,</w:t>
      </w:r>
      <w:r w:rsidR="00C067DC" w:rsidRPr="007647B4">
        <w:rPr>
          <w:rStyle w:val="FootnoteReference"/>
          <w:rFonts w:asciiTheme="minorHAnsi" w:hAnsiTheme="minorHAnsi" w:cstheme="minorHAnsi"/>
          <w:color w:val="000000" w:themeColor="text1"/>
          <w:sz w:val="22"/>
          <w:szCs w:val="22"/>
        </w:rPr>
        <w:footnoteReference w:id="84"/>
      </w:r>
      <w:r w:rsidR="00E92CE0" w:rsidRPr="007647B4">
        <w:rPr>
          <w:rFonts w:asciiTheme="minorHAnsi" w:hAnsiTheme="minorHAnsi" w:cstheme="minorHAnsi"/>
          <w:color w:val="000000" w:themeColor="text1"/>
          <w:sz w:val="22"/>
          <w:szCs w:val="22"/>
          <w:vertAlign w:val="superscript"/>
        </w:rPr>
        <w:t>,</w:t>
      </w:r>
      <w:r w:rsidR="00C067DC" w:rsidRPr="007647B4">
        <w:rPr>
          <w:rStyle w:val="FootnoteReference"/>
          <w:rFonts w:asciiTheme="minorHAnsi" w:hAnsiTheme="minorHAnsi" w:cstheme="minorHAnsi"/>
          <w:color w:val="000000" w:themeColor="text1"/>
          <w:sz w:val="22"/>
          <w:szCs w:val="22"/>
        </w:rPr>
        <w:footnoteReference w:id="85"/>
      </w:r>
      <w:r w:rsidR="00B01B4A" w:rsidRPr="007647B4">
        <w:rPr>
          <w:rFonts w:asciiTheme="minorHAnsi" w:hAnsiTheme="minorHAnsi" w:cstheme="minorHAnsi"/>
          <w:color w:val="000000" w:themeColor="text1"/>
          <w:sz w:val="22"/>
          <w:szCs w:val="22"/>
        </w:rPr>
        <w:t xml:space="preserve"> and a change to the ingredients of an edible product could affect THC absorption. Such modifications should be considered to have created a new product and should trigger mandatory updates to the product list. </w:t>
      </w:r>
    </w:p>
    <w:p w14:paraId="6314CA6B" w14:textId="2FA659FE" w:rsidR="00B01B4A" w:rsidRPr="007647B4" w:rsidRDefault="00B01B4A" w:rsidP="003B2510">
      <w:pPr>
        <w:jc w:val="both"/>
        <w:rPr>
          <w:rFonts w:asciiTheme="minorHAnsi" w:hAnsiTheme="minorHAnsi" w:cstheme="minorHAnsi"/>
          <w:color w:val="000000" w:themeColor="text1"/>
          <w:sz w:val="22"/>
          <w:szCs w:val="22"/>
        </w:rPr>
      </w:pPr>
    </w:p>
    <w:p w14:paraId="1BD72710" w14:textId="372FCA40" w:rsidR="00B01B4A" w:rsidRPr="007647B4" w:rsidRDefault="00B01B4A" w:rsidP="003B2510">
      <w:pPr>
        <w:jc w:val="both"/>
        <w:rPr>
          <w:rFonts w:asciiTheme="minorHAnsi" w:hAnsiTheme="minorHAnsi" w:cstheme="minorHAnsi"/>
          <w:b/>
          <w:sz w:val="22"/>
          <w:szCs w:val="22"/>
        </w:rPr>
      </w:pPr>
      <w:r w:rsidRPr="007647B4">
        <w:rPr>
          <w:rFonts w:asciiTheme="minorHAnsi" w:hAnsiTheme="minorHAnsi" w:cstheme="minorHAnsi"/>
          <w:color w:val="000000" w:themeColor="text1"/>
          <w:sz w:val="22"/>
          <w:szCs w:val="22"/>
        </w:rPr>
        <w:t xml:space="preserve">Section 910 of the Family Smoking and Tobacco Prevention Control Act of 2009 requires tobacco companies to apply for premarket review for “new tobacco products” including those that have undergone </w:t>
      </w:r>
      <w:r w:rsidRPr="007647B4">
        <w:rPr>
          <w:rFonts w:asciiTheme="minorHAnsi" w:hAnsiTheme="minorHAnsi" w:cstheme="minorHAnsi"/>
          <w:sz w:val="22"/>
          <w:szCs w:val="22"/>
        </w:rPr>
        <w:t>“any modification (including a change in design, any component, any part, or any constituent, including a smoke constituent, or any other additive or ingredient).”</w:t>
      </w:r>
      <w:r w:rsidR="00C067DC" w:rsidRPr="007647B4">
        <w:rPr>
          <w:rStyle w:val="FootnoteReference"/>
          <w:rFonts w:asciiTheme="minorHAnsi" w:hAnsiTheme="minorHAnsi" w:cstheme="minorHAnsi"/>
          <w:sz w:val="22"/>
          <w:szCs w:val="22"/>
        </w:rPr>
        <w:footnoteReference w:id="86"/>
      </w:r>
      <w:r w:rsidR="003B2510" w:rsidRPr="007647B4">
        <w:rPr>
          <w:rFonts w:asciiTheme="minorHAnsi" w:hAnsiTheme="minorHAnsi" w:cstheme="minorHAnsi"/>
          <w:sz w:val="22"/>
          <w:szCs w:val="22"/>
        </w:rPr>
        <w:t xml:space="preserve"> </w:t>
      </w:r>
      <w:r w:rsidRPr="007647B4">
        <w:rPr>
          <w:rFonts w:asciiTheme="minorHAnsi" w:hAnsiTheme="minorHAnsi" w:cstheme="minorHAnsi"/>
          <w:sz w:val="22"/>
          <w:szCs w:val="22"/>
        </w:rPr>
        <w:t xml:space="preserve">The Department should apply a similar standard to define changes to cannabis products that must be reported. As no similar type of premarket review is currently required for cannabis products, the burden on licensed cannabis manufacturers to update their product list within 10 business days via the Manufactured Cannabis Licensing System is minimal, particularly in light of related requirements to maintain a Master Manufacturing Protocol (§ 40262) that includes comprehensive details on ingredients and processes “for each unique formulation of cannabis product manufactured, and for each batch size.” </w:t>
      </w:r>
      <w:r w:rsidRPr="007647B4">
        <w:rPr>
          <w:rFonts w:asciiTheme="minorHAnsi" w:hAnsiTheme="minorHAnsi" w:cstheme="minorHAnsi"/>
          <w:b/>
          <w:sz w:val="22"/>
          <w:szCs w:val="22"/>
        </w:rPr>
        <w:t>The Department should seek authorization and funding for a system of premarket approval for new cannabis products based on FDA’s tobacco product model.</w:t>
      </w:r>
    </w:p>
    <w:p w14:paraId="353033BC" w14:textId="72411550" w:rsidR="00316817" w:rsidRPr="007647B4" w:rsidRDefault="00316817" w:rsidP="003B2510">
      <w:pPr>
        <w:jc w:val="both"/>
        <w:rPr>
          <w:rFonts w:asciiTheme="minorHAnsi" w:hAnsiTheme="minorHAnsi" w:cstheme="minorHAnsi"/>
          <w:b/>
          <w:color w:val="000000" w:themeColor="text1"/>
          <w:sz w:val="22"/>
          <w:szCs w:val="22"/>
        </w:rPr>
      </w:pPr>
    </w:p>
    <w:p w14:paraId="538480C7" w14:textId="696E3971" w:rsidR="003E420C" w:rsidRPr="007647B4" w:rsidRDefault="00A4255B" w:rsidP="002F3B3D">
      <w:pPr>
        <w:jc w:val="both"/>
        <w:rPr>
          <w:rFonts w:asciiTheme="minorHAnsi" w:hAnsiTheme="minorHAnsi" w:cstheme="minorHAnsi"/>
          <w:b/>
          <w:color w:val="000000" w:themeColor="text1"/>
          <w:sz w:val="22"/>
          <w:szCs w:val="22"/>
        </w:rPr>
      </w:pPr>
      <w:r w:rsidRPr="007647B4">
        <w:rPr>
          <w:rFonts w:asciiTheme="minorHAnsi" w:hAnsiTheme="minorHAnsi" w:cstheme="minorHAnsi"/>
          <w:b/>
          <w:color w:val="000000" w:themeColor="text1"/>
          <w:sz w:val="22"/>
          <w:szCs w:val="22"/>
        </w:rPr>
        <w:t>3</w:t>
      </w:r>
      <w:r w:rsidR="003E420C" w:rsidRPr="007647B4">
        <w:rPr>
          <w:rFonts w:asciiTheme="minorHAnsi" w:hAnsiTheme="minorHAnsi" w:cstheme="minorHAnsi"/>
          <w:b/>
          <w:color w:val="000000" w:themeColor="text1"/>
          <w:sz w:val="22"/>
          <w:szCs w:val="22"/>
        </w:rPr>
        <w:t xml:space="preserve">. Expand the </w:t>
      </w:r>
      <w:r w:rsidR="005068E0" w:rsidRPr="007647B4">
        <w:rPr>
          <w:rFonts w:asciiTheme="minorHAnsi" w:hAnsiTheme="minorHAnsi" w:cstheme="minorHAnsi"/>
          <w:b/>
          <w:color w:val="000000" w:themeColor="text1"/>
          <w:sz w:val="22"/>
          <w:szCs w:val="22"/>
        </w:rPr>
        <w:t>P</w:t>
      </w:r>
      <w:r w:rsidR="003E420C" w:rsidRPr="007647B4">
        <w:rPr>
          <w:rFonts w:asciiTheme="minorHAnsi" w:hAnsiTheme="minorHAnsi" w:cstheme="minorHAnsi"/>
          <w:b/>
          <w:color w:val="000000" w:themeColor="text1"/>
          <w:sz w:val="22"/>
          <w:szCs w:val="22"/>
        </w:rPr>
        <w:t xml:space="preserve">rohibition on </w:t>
      </w:r>
      <w:r w:rsidR="005068E0" w:rsidRPr="007647B4">
        <w:rPr>
          <w:rFonts w:asciiTheme="minorHAnsi" w:hAnsiTheme="minorHAnsi" w:cstheme="minorHAnsi"/>
          <w:b/>
          <w:color w:val="000000" w:themeColor="text1"/>
          <w:sz w:val="22"/>
          <w:szCs w:val="22"/>
        </w:rPr>
        <w:t>C</w:t>
      </w:r>
      <w:r w:rsidR="003E420C" w:rsidRPr="007647B4">
        <w:rPr>
          <w:rFonts w:asciiTheme="minorHAnsi" w:hAnsiTheme="minorHAnsi" w:cstheme="minorHAnsi"/>
          <w:b/>
          <w:color w:val="000000" w:themeColor="text1"/>
          <w:sz w:val="22"/>
          <w:szCs w:val="22"/>
        </w:rPr>
        <w:t>affeine to</w:t>
      </w:r>
      <w:r w:rsidR="005068E0" w:rsidRPr="007647B4">
        <w:rPr>
          <w:rFonts w:asciiTheme="minorHAnsi" w:hAnsiTheme="minorHAnsi" w:cstheme="minorHAnsi"/>
          <w:b/>
          <w:color w:val="000000" w:themeColor="text1"/>
          <w:sz w:val="22"/>
          <w:szCs w:val="22"/>
        </w:rPr>
        <w:t xml:space="preserve"> In</w:t>
      </w:r>
      <w:r w:rsidR="003E420C" w:rsidRPr="007647B4">
        <w:rPr>
          <w:rFonts w:asciiTheme="minorHAnsi" w:hAnsiTheme="minorHAnsi" w:cstheme="minorHAnsi"/>
          <w:b/>
          <w:color w:val="000000" w:themeColor="text1"/>
          <w:sz w:val="22"/>
          <w:szCs w:val="22"/>
        </w:rPr>
        <w:t>clude “naturally derived sources” (§</w:t>
      </w:r>
      <w:r w:rsidR="00550815" w:rsidRPr="007647B4">
        <w:rPr>
          <w:rFonts w:asciiTheme="minorHAnsi" w:hAnsiTheme="minorHAnsi" w:cstheme="minorHAnsi"/>
          <w:b/>
          <w:color w:val="000000" w:themeColor="text1"/>
          <w:sz w:val="22"/>
          <w:szCs w:val="22"/>
        </w:rPr>
        <w:t xml:space="preserve"> </w:t>
      </w:r>
      <w:r w:rsidR="003E420C" w:rsidRPr="007647B4">
        <w:rPr>
          <w:rFonts w:asciiTheme="minorHAnsi" w:hAnsiTheme="minorHAnsi" w:cstheme="minorHAnsi"/>
          <w:b/>
          <w:color w:val="000000" w:themeColor="text1"/>
          <w:sz w:val="22"/>
          <w:szCs w:val="22"/>
        </w:rPr>
        <w:t>40300)</w:t>
      </w:r>
    </w:p>
    <w:p w14:paraId="1119FE01" w14:textId="2D3230B3" w:rsidR="003E420C" w:rsidRPr="007647B4" w:rsidRDefault="003E420C" w:rsidP="003B2510">
      <w:pPr>
        <w:jc w:val="both"/>
        <w:rPr>
          <w:rFonts w:asciiTheme="minorHAnsi" w:hAnsiTheme="minorHAnsi" w:cstheme="minorHAnsi"/>
          <w:b/>
          <w:color w:val="000000" w:themeColor="text1"/>
          <w:sz w:val="22"/>
          <w:szCs w:val="22"/>
        </w:rPr>
      </w:pPr>
    </w:p>
    <w:p w14:paraId="3E52F8CB" w14:textId="719D1FC1" w:rsidR="0022627A" w:rsidRPr="007647B4" w:rsidRDefault="003E420C" w:rsidP="003B2510">
      <w:pPr>
        <w:jc w:val="both"/>
        <w:rPr>
          <w:rFonts w:asciiTheme="minorHAnsi" w:hAnsiTheme="minorHAnsi" w:cstheme="minorHAnsi"/>
          <w:sz w:val="22"/>
          <w:szCs w:val="22"/>
        </w:rPr>
      </w:pPr>
      <w:r w:rsidRPr="007647B4">
        <w:rPr>
          <w:rFonts w:asciiTheme="minorHAnsi" w:hAnsiTheme="minorHAnsi" w:cstheme="minorHAnsi"/>
          <w:color w:val="000000" w:themeColor="text1"/>
          <w:sz w:val="22"/>
          <w:szCs w:val="22"/>
        </w:rPr>
        <w:t>CDPH appropriately prohibits the inclusion of non-cannabinoid additives that increase potency, toxicity, or addictive potential and has added a further restriction on additives that would “create an unsafe combination with other psychoactive substances.” (§</w:t>
      </w:r>
      <w:r w:rsidR="00550815"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 xml:space="preserve">40300(a)). In CDPH’s Initial Statement of Reasons, it </w:t>
      </w:r>
      <w:r w:rsidRPr="007647B4">
        <w:rPr>
          <w:rFonts w:asciiTheme="minorHAnsi" w:hAnsiTheme="minorHAnsi" w:cstheme="minorHAnsi"/>
          <w:color w:val="000000" w:themeColor="text1"/>
          <w:sz w:val="22"/>
          <w:szCs w:val="22"/>
        </w:rPr>
        <w:lastRenderedPageBreak/>
        <w:t xml:space="preserve">states that CDPH </w:t>
      </w:r>
      <w:r w:rsidR="0022627A" w:rsidRPr="007647B4">
        <w:rPr>
          <w:rFonts w:asciiTheme="minorHAnsi" w:hAnsiTheme="minorHAnsi" w:cstheme="minorHAnsi"/>
          <w:color w:val="000000" w:themeColor="text1"/>
          <w:sz w:val="22"/>
          <w:szCs w:val="22"/>
        </w:rPr>
        <w:t>would prohibit the addition of caffeine as an additive because “</w:t>
      </w:r>
      <w:r w:rsidR="0022627A" w:rsidRPr="007647B4">
        <w:rPr>
          <w:rFonts w:asciiTheme="minorHAnsi" w:hAnsiTheme="minorHAnsi" w:cstheme="minorHAnsi"/>
          <w:sz w:val="22"/>
          <w:szCs w:val="22"/>
        </w:rPr>
        <w:t xml:space="preserve">cannabis can similarly behave as a depressant, causing the same unsafe combination with caffeine as does alcohol. In order to protect public health, the Department has </w:t>
      </w:r>
      <w:proofErr w:type="gramStart"/>
      <w:r w:rsidR="0022627A" w:rsidRPr="007647B4">
        <w:rPr>
          <w:rFonts w:asciiTheme="minorHAnsi" w:hAnsiTheme="minorHAnsi" w:cstheme="minorHAnsi"/>
          <w:sz w:val="22"/>
          <w:szCs w:val="22"/>
        </w:rPr>
        <w:t>made a determination</w:t>
      </w:r>
      <w:proofErr w:type="gramEnd"/>
      <w:r w:rsidR="0022627A" w:rsidRPr="007647B4">
        <w:rPr>
          <w:rFonts w:asciiTheme="minorHAnsi" w:hAnsiTheme="minorHAnsi" w:cstheme="minorHAnsi"/>
          <w:sz w:val="22"/>
          <w:szCs w:val="22"/>
        </w:rPr>
        <w:t xml:space="preserve"> to prohibit caffeine in cannabis products.”</w:t>
      </w:r>
      <w:r w:rsidR="005068E0" w:rsidRPr="007647B4">
        <w:rPr>
          <w:rStyle w:val="FootnoteReference"/>
          <w:rFonts w:asciiTheme="minorHAnsi" w:hAnsiTheme="minorHAnsi" w:cstheme="minorHAnsi"/>
          <w:sz w:val="22"/>
          <w:szCs w:val="22"/>
        </w:rPr>
        <w:footnoteReference w:id="87"/>
      </w:r>
      <w:r w:rsidR="0022627A" w:rsidRPr="007647B4">
        <w:rPr>
          <w:rFonts w:asciiTheme="minorHAnsi" w:hAnsiTheme="minorHAnsi" w:cstheme="minorHAnsi"/>
          <w:sz w:val="22"/>
          <w:szCs w:val="22"/>
        </w:rPr>
        <w:t xml:space="preserve"> However, despite its recognition that caffeine can be a dangerous additive to cannabis products, CDPH does not in fact prohibit this combination because the regulations clearly allow for cannabis to be combined with “naturally caffeinated products (coffee, tea) (§</w:t>
      </w:r>
      <w:r w:rsidR="00550815" w:rsidRPr="007647B4">
        <w:rPr>
          <w:rFonts w:asciiTheme="minorHAnsi" w:hAnsiTheme="minorHAnsi" w:cstheme="minorHAnsi"/>
          <w:sz w:val="22"/>
          <w:szCs w:val="22"/>
        </w:rPr>
        <w:t xml:space="preserve"> </w:t>
      </w:r>
      <w:r w:rsidR="0022627A" w:rsidRPr="007647B4">
        <w:rPr>
          <w:rFonts w:asciiTheme="minorHAnsi" w:hAnsiTheme="minorHAnsi" w:cstheme="minorHAnsi"/>
          <w:sz w:val="22"/>
          <w:szCs w:val="22"/>
        </w:rPr>
        <w:t>40300(b)).</w:t>
      </w:r>
      <w:r w:rsidR="00DA6B6F" w:rsidRPr="007647B4">
        <w:rPr>
          <w:rFonts w:asciiTheme="minorHAnsi" w:hAnsiTheme="minorHAnsi" w:cstheme="minorHAnsi"/>
          <w:sz w:val="22"/>
          <w:szCs w:val="22"/>
        </w:rPr>
        <w:t xml:space="preserve"> </w:t>
      </w:r>
      <w:r w:rsidR="0022627A" w:rsidRPr="007647B4">
        <w:rPr>
          <w:rFonts w:asciiTheme="minorHAnsi" w:hAnsiTheme="minorHAnsi" w:cstheme="minorHAnsi"/>
          <w:sz w:val="22"/>
          <w:szCs w:val="22"/>
        </w:rPr>
        <w:t>If the combination of a stimulant (caffeine) and a depressant (cannabis) is unsafe (and we agree with CDPH’s assessment), then it is unsafe regardless of the source of the caffeine.</w:t>
      </w:r>
      <w:r w:rsidR="00DA6B6F" w:rsidRPr="007647B4">
        <w:rPr>
          <w:rFonts w:asciiTheme="minorHAnsi" w:hAnsiTheme="minorHAnsi" w:cstheme="minorHAnsi"/>
          <w:sz w:val="22"/>
          <w:szCs w:val="22"/>
        </w:rPr>
        <w:t xml:space="preserve"> </w:t>
      </w:r>
      <w:r w:rsidR="0022627A" w:rsidRPr="007647B4">
        <w:rPr>
          <w:rFonts w:asciiTheme="minorHAnsi" w:hAnsiTheme="minorHAnsi" w:cstheme="minorHAnsi"/>
          <w:sz w:val="22"/>
          <w:szCs w:val="22"/>
        </w:rPr>
        <w:t>Caffeine levels also vary dramatically in natural products. For example, drip coffee typically contains 10-20mg of caffeine per fluid ounce, whereas espresso and cold-brew concentrates can have more than 70mg per fluid ounce.</w:t>
      </w:r>
      <w:r w:rsidR="005068E0" w:rsidRPr="007647B4">
        <w:rPr>
          <w:rStyle w:val="FootnoteReference"/>
          <w:rFonts w:asciiTheme="minorHAnsi" w:hAnsiTheme="minorHAnsi" w:cstheme="minorHAnsi"/>
          <w:sz w:val="22"/>
          <w:szCs w:val="22"/>
        </w:rPr>
        <w:footnoteReference w:id="88"/>
      </w:r>
    </w:p>
    <w:p w14:paraId="60E9DD31" w14:textId="06D78150" w:rsidR="0022627A" w:rsidRPr="007647B4" w:rsidRDefault="0022627A" w:rsidP="003B2510">
      <w:pPr>
        <w:jc w:val="both"/>
        <w:rPr>
          <w:rFonts w:asciiTheme="minorHAnsi" w:hAnsiTheme="minorHAnsi" w:cstheme="minorHAnsi"/>
          <w:sz w:val="22"/>
          <w:szCs w:val="22"/>
        </w:rPr>
      </w:pPr>
    </w:p>
    <w:p w14:paraId="14888BBE" w14:textId="6281FF18" w:rsidR="0022627A" w:rsidRPr="007647B4" w:rsidRDefault="001C666D" w:rsidP="003B2510">
      <w:pPr>
        <w:jc w:val="both"/>
        <w:rPr>
          <w:rFonts w:asciiTheme="minorHAnsi" w:hAnsiTheme="minorHAnsi" w:cstheme="minorHAnsi"/>
          <w:b/>
          <w:sz w:val="22"/>
          <w:szCs w:val="22"/>
        </w:rPr>
      </w:pPr>
      <w:r w:rsidRPr="007647B4">
        <w:rPr>
          <w:rFonts w:asciiTheme="minorHAnsi" w:hAnsiTheme="minorHAnsi" w:cstheme="minorHAnsi"/>
          <w:b/>
          <w:sz w:val="22"/>
          <w:szCs w:val="22"/>
        </w:rPr>
        <w:t xml:space="preserve">To be consistent with its own analysis, </w:t>
      </w:r>
      <w:r w:rsidR="0022627A" w:rsidRPr="007647B4">
        <w:rPr>
          <w:rFonts w:asciiTheme="minorHAnsi" w:hAnsiTheme="minorHAnsi" w:cstheme="minorHAnsi"/>
          <w:b/>
          <w:sz w:val="22"/>
          <w:szCs w:val="22"/>
        </w:rPr>
        <w:t xml:space="preserve">CDPH </w:t>
      </w:r>
      <w:r w:rsidRPr="007647B4">
        <w:rPr>
          <w:rFonts w:asciiTheme="minorHAnsi" w:hAnsiTheme="minorHAnsi" w:cstheme="minorHAnsi"/>
          <w:b/>
          <w:sz w:val="22"/>
          <w:szCs w:val="22"/>
        </w:rPr>
        <w:t xml:space="preserve">should </w:t>
      </w:r>
      <w:r w:rsidR="0022627A" w:rsidRPr="007647B4">
        <w:rPr>
          <w:rFonts w:asciiTheme="minorHAnsi" w:hAnsiTheme="minorHAnsi" w:cstheme="minorHAnsi"/>
          <w:b/>
          <w:sz w:val="22"/>
          <w:szCs w:val="22"/>
        </w:rPr>
        <w:t>prohibit all caffeine</w:t>
      </w:r>
      <w:r w:rsidRPr="007647B4">
        <w:rPr>
          <w:rFonts w:asciiTheme="minorHAnsi" w:hAnsiTheme="minorHAnsi" w:cstheme="minorHAnsi"/>
          <w:b/>
          <w:sz w:val="22"/>
          <w:szCs w:val="22"/>
        </w:rPr>
        <w:t>, regarded of origin,</w:t>
      </w:r>
      <w:r w:rsidR="0022627A" w:rsidRPr="007647B4">
        <w:rPr>
          <w:rFonts w:asciiTheme="minorHAnsi" w:hAnsiTheme="minorHAnsi" w:cstheme="minorHAnsi"/>
          <w:b/>
          <w:sz w:val="22"/>
          <w:szCs w:val="22"/>
        </w:rPr>
        <w:t xml:space="preserve"> in cannabis products</w:t>
      </w:r>
      <w:r w:rsidRPr="007647B4">
        <w:rPr>
          <w:rFonts w:asciiTheme="minorHAnsi" w:hAnsiTheme="minorHAnsi" w:cstheme="minorHAnsi"/>
          <w:b/>
          <w:sz w:val="22"/>
          <w:szCs w:val="22"/>
        </w:rPr>
        <w:t>, or at minimum, specify a maximum allowable level of caffeine in manufactured products.</w:t>
      </w:r>
      <w:r w:rsidR="0022627A" w:rsidRPr="007647B4">
        <w:rPr>
          <w:rFonts w:asciiTheme="minorHAnsi" w:hAnsiTheme="minorHAnsi" w:cstheme="minorHAnsi"/>
          <w:b/>
          <w:sz w:val="22"/>
          <w:szCs w:val="22"/>
        </w:rPr>
        <w:t xml:space="preserve"> </w:t>
      </w:r>
    </w:p>
    <w:p w14:paraId="34547644" w14:textId="77777777" w:rsidR="003E420C" w:rsidRPr="007647B4" w:rsidRDefault="003E420C" w:rsidP="003B2510">
      <w:pPr>
        <w:jc w:val="both"/>
        <w:rPr>
          <w:rFonts w:asciiTheme="minorHAnsi" w:hAnsiTheme="minorHAnsi" w:cstheme="minorHAnsi"/>
          <w:color w:val="000000" w:themeColor="text1"/>
          <w:sz w:val="22"/>
          <w:szCs w:val="22"/>
        </w:rPr>
      </w:pPr>
    </w:p>
    <w:p w14:paraId="2251F1F3" w14:textId="33D81158" w:rsidR="00316817" w:rsidRPr="007647B4" w:rsidRDefault="00A4255B" w:rsidP="002F3B3D">
      <w:pPr>
        <w:jc w:val="both"/>
        <w:rPr>
          <w:rFonts w:asciiTheme="minorHAnsi" w:hAnsiTheme="minorHAnsi" w:cstheme="minorHAnsi"/>
          <w:b/>
          <w:color w:val="000000" w:themeColor="text1"/>
          <w:sz w:val="22"/>
          <w:szCs w:val="22"/>
        </w:rPr>
      </w:pPr>
      <w:r w:rsidRPr="007647B4">
        <w:rPr>
          <w:rFonts w:asciiTheme="minorHAnsi" w:hAnsiTheme="minorHAnsi" w:cstheme="minorHAnsi"/>
          <w:b/>
          <w:color w:val="000000" w:themeColor="text1"/>
          <w:sz w:val="22"/>
          <w:szCs w:val="22"/>
        </w:rPr>
        <w:t>4</w:t>
      </w:r>
      <w:r w:rsidR="00316817" w:rsidRPr="007647B4">
        <w:rPr>
          <w:rFonts w:asciiTheme="minorHAnsi" w:hAnsiTheme="minorHAnsi" w:cstheme="minorHAnsi"/>
          <w:b/>
          <w:color w:val="000000" w:themeColor="text1"/>
          <w:sz w:val="22"/>
          <w:szCs w:val="22"/>
        </w:rPr>
        <w:t xml:space="preserve">. Establish a </w:t>
      </w:r>
      <w:r w:rsidR="005068E0" w:rsidRPr="007647B4">
        <w:rPr>
          <w:rFonts w:asciiTheme="minorHAnsi" w:hAnsiTheme="minorHAnsi" w:cstheme="minorHAnsi"/>
          <w:b/>
          <w:color w:val="000000" w:themeColor="text1"/>
          <w:sz w:val="22"/>
          <w:szCs w:val="22"/>
        </w:rPr>
        <w:t>More D</w:t>
      </w:r>
      <w:r w:rsidR="00316817" w:rsidRPr="007647B4">
        <w:rPr>
          <w:rFonts w:asciiTheme="minorHAnsi" w:hAnsiTheme="minorHAnsi" w:cstheme="minorHAnsi"/>
          <w:b/>
          <w:color w:val="000000" w:themeColor="text1"/>
          <w:sz w:val="22"/>
          <w:szCs w:val="22"/>
        </w:rPr>
        <w:t xml:space="preserve">etailed and </w:t>
      </w:r>
      <w:r w:rsidR="005068E0" w:rsidRPr="007647B4">
        <w:rPr>
          <w:rFonts w:asciiTheme="minorHAnsi" w:hAnsiTheme="minorHAnsi" w:cstheme="minorHAnsi"/>
          <w:b/>
          <w:color w:val="000000" w:themeColor="text1"/>
          <w:sz w:val="22"/>
          <w:szCs w:val="22"/>
        </w:rPr>
        <w:t>I</w:t>
      </w:r>
      <w:r w:rsidR="00316817" w:rsidRPr="007647B4">
        <w:rPr>
          <w:rFonts w:asciiTheme="minorHAnsi" w:hAnsiTheme="minorHAnsi" w:cstheme="minorHAnsi"/>
          <w:b/>
          <w:color w:val="000000" w:themeColor="text1"/>
          <w:sz w:val="22"/>
          <w:szCs w:val="22"/>
        </w:rPr>
        <w:t xml:space="preserve">nclusive </w:t>
      </w:r>
      <w:r w:rsidR="005068E0" w:rsidRPr="007647B4">
        <w:rPr>
          <w:rFonts w:asciiTheme="minorHAnsi" w:hAnsiTheme="minorHAnsi" w:cstheme="minorHAnsi"/>
          <w:b/>
          <w:color w:val="000000" w:themeColor="text1"/>
          <w:sz w:val="22"/>
          <w:szCs w:val="22"/>
        </w:rPr>
        <w:t>D</w:t>
      </w:r>
      <w:r w:rsidR="00316817" w:rsidRPr="007647B4">
        <w:rPr>
          <w:rFonts w:asciiTheme="minorHAnsi" w:hAnsiTheme="minorHAnsi" w:cstheme="minorHAnsi"/>
          <w:b/>
          <w:color w:val="000000" w:themeColor="text1"/>
          <w:sz w:val="22"/>
          <w:szCs w:val="22"/>
        </w:rPr>
        <w:t>efinition of “Attractive to Children or Youth”</w:t>
      </w:r>
      <w:r w:rsidRPr="007647B4">
        <w:rPr>
          <w:rFonts w:asciiTheme="minorHAnsi" w:hAnsiTheme="minorHAnsi" w:cstheme="minorHAnsi"/>
          <w:b/>
          <w:color w:val="000000" w:themeColor="text1"/>
          <w:sz w:val="22"/>
          <w:szCs w:val="22"/>
        </w:rPr>
        <w:t xml:space="preserve"> </w:t>
      </w:r>
      <w:r w:rsidRPr="007647B4">
        <w:rPr>
          <w:rFonts w:asciiTheme="minorHAnsi" w:hAnsiTheme="minorHAnsi" w:cstheme="minorHAnsi"/>
          <w:color w:val="000000" w:themeColor="text1"/>
          <w:sz w:val="22"/>
          <w:szCs w:val="22"/>
        </w:rPr>
        <w:t>(§ 40410(</w:t>
      </w:r>
      <w:r w:rsidR="00804E4F" w:rsidRPr="007647B4">
        <w:rPr>
          <w:rFonts w:asciiTheme="minorHAnsi" w:hAnsiTheme="minorHAnsi" w:cstheme="minorHAnsi"/>
          <w:color w:val="000000" w:themeColor="text1"/>
          <w:sz w:val="22"/>
          <w:szCs w:val="22"/>
        </w:rPr>
        <w:t>b</w:t>
      </w:r>
      <w:r w:rsidRPr="007647B4">
        <w:rPr>
          <w:rFonts w:asciiTheme="minorHAnsi" w:hAnsiTheme="minorHAnsi" w:cstheme="minorHAnsi"/>
          <w:color w:val="000000" w:themeColor="text1"/>
          <w:sz w:val="22"/>
          <w:szCs w:val="22"/>
        </w:rPr>
        <w:t>))</w:t>
      </w:r>
    </w:p>
    <w:p w14:paraId="067E60B2" w14:textId="3950362D" w:rsidR="00316817" w:rsidRPr="007647B4" w:rsidRDefault="00316817" w:rsidP="003B2510">
      <w:pPr>
        <w:jc w:val="both"/>
        <w:rPr>
          <w:rFonts w:asciiTheme="minorHAnsi" w:hAnsiTheme="minorHAnsi" w:cstheme="minorHAnsi"/>
          <w:b/>
          <w:color w:val="000000" w:themeColor="text1"/>
          <w:sz w:val="22"/>
          <w:szCs w:val="22"/>
        </w:rPr>
      </w:pPr>
    </w:p>
    <w:p w14:paraId="04B88985" w14:textId="77777777" w:rsidR="00316817" w:rsidRPr="007647B4" w:rsidRDefault="00316817"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While CDPH’s proposed regulation makes important progress, this definition should include products, packaging or labeling or advertising that encourages persons under age 21 to initiate cannabis consumption or to consume cannabis or cannabis products. For example: </w:t>
      </w:r>
    </w:p>
    <w:p w14:paraId="553B27F3" w14:textId="3680781A" w:rsidR="00316817" w:rsidRPr="007647B4" w:rsidRDefault="00316817" w:rsidP="003B2510">
      <w:pPr>
        <w:jc w:val="both"/>
        <w:rPr>
          <w:rFonts w:asciiTheme="minorHAnsi" w:hAnsiTheme="minorHAnsi" w:cstheme="minorHAnsi"/>
          <w:b/>
          <w:color w:val="000000" w:themeColor="text1"/>
          <w:sz w:val="22"/>
          <w:szCs w:val="22"/>
        </w:rPr>
      </w:pPr>
    </w:p>
    <w:p w14:paraId="72631E13" w14:textId="031E3BE8" w:rsidR="00316817" w:rsidRPr="007647B4" w:rsidRDefault="00932F13" w:rsidP="007647B4">
      <w:pPr>
        <w:ind w:firstLine="720"/>
        <w:jc w:val="both"/>
        <w:rPr>
          <w:rFonts w:asciiTheme="minorHAnsi" w:hAnsiTheme="minorHAnsi" w:cstheme="minorHAnsi"/>
          <w:sz w:val="22"/>
          <w:szCs w:val="22"/>
        </w:rPr>
      </w:pPr>
      <w:r w:rsidRPr="007647B4">
        <w:rPr>
          <w:rFonts w:asciiTheme="minorHAnsi" w:hAnsiTheme="minorHAnsi" w:cstheme="minorHAnsi"/>
          <w:b/>
          <w:color w:val="000000" w:themeColor="text1"/>
          <w:sz w:val="22"/>
          <w:szCs w:val="22"/>
        </w:rPr>
        <w:t>4</w:t>
      </w:r>
      <w:r w:rsidR="002F3B3D" w:rsidRPr="007647B4">
        <w:rPr>
          <w:rFonts w:asciiTheme="minorHAnsi" w:hAnsiTheme="minorHAnsi" w:cstheme="minorHAnsi"/>
          <w:b/>
          <w:color w:val="000000" w:themeColor="text1"/>
          <w:sz w:val="22"/>
          <w:szCs w:val="22"/>
        </w:rPr>
        <w:t>.</w:t>
      </w:r>
      <w:r w:rsidR="00316817" w:rsidRPr="007647B4">
        <w:rPr>
          <w:rFonts w:asciiTheme="minorHAnsi" w:hAnsiTheme="minorHAnsi" w:cstheme="minorHAnsi"/>
          <w:b/>
          <w:color w:val="000000" w:themeColor="text1"/>
          <w:sz w:val="22"/>
          <w:szCs w:val="22"/>
        </w:rPr>
        <w:t>a</w:t>
      </w:r>
      <w:r w:rsidR="002F3B3D" w:rsidRPr="007647B4">
        <w:rPr>
          <w:rFonts w:asciiTheme="minorHAnsi" w:hAnsiTheme="minorHAnsi" w:cstheme="minorHAnsi"/>
          <w:b/>
          <w:color w:val="000000" w:themeColor="text1"/>
          <w:sz w:val="22"/>
          <w:szCs w:val="22"/>
        </w:rPr>
        <w:t>.</w:t>
      </w:r>
      <w:r w:rsidRPr="007647B4">
        <w:rPr>
          <w:rFonts w:asciiTheme="minorHAnsi" w:hAnsiTheme="minorHAnsi" w:cstheme="minorHAnsi"/>
          <w:b/>
          <w:color w:val="000000" w:themeColor="text1"/>
          <w:sz w:val="22"/>
          <w:szCs w:val="22"/>
        </w:rPr>
        <w:t>)</w:t>
      </w:r>
      <w:r w:rsidR="00DA6B6F" w:rsidRPr="007647B4">
        <w:rPr>
          <w:rFonts w:asciiTheme="minorHAnsi" w:hAnsiTheme="minorHAnsi" w:cstheme="minorHAnsi"/>
          <w:color w:val="000000" w:themeColor="text1"/>
          <w:sz w:val="22"/>
          <w:szCs w:val="22"/>
        </w:rPr>
        <w:t xml:space="preserve"> </w:t>
      </w:r>
      <w:r w:rsidR="00804E4F" w:rsidRPr="007647B4">
        <w:rPr>
          <w:rFonts w:asciiTheme="minorHAnsi" w:hAnsiTheme="minorHAnsi" w:cstheme="minorHAnsi"/>
          <w:color w:val="000000" w:themeColor="text1"/>
          <w:sz w:val="22"/>
          <w:szCs w:val="22"/>
        </w:rPr>
        <w:t xml:space="preserve">We applaud CDPH’s decision to prohibit products </w:t>
      </w:r>
      <w:r w:rsidR="00804E4F" w:rsidRPr="007647B4">
        <w:rPr>
          <w:rFonts w:asciiTheme="minorHAnsi" w:hAnsiTheme="minorHAnsi" w:cstheme="minorHAnsi"/>
          <w:sz w:val="22"/>
          <w:szCs w:val="22"/>
        </w:rPr>
        <w:t>“in the shape of, or imprinted with the shape of a human being, either realistic or caricature, animal, insect, or fruit.” (§</w:t>
      </w:r>
      <w:r w:rsidR="00550815" w:rsidRPr="007647B4">
        <w:rPr>
          <w:rFonts w:asciiTheme="minorHAnsi" w:hAnsiTheme="minorHAnsi" w:cstheme="minorHAnsi"/>
          <w:sz w:val="22"/>
          <w:szCs w:val="22"/>
        </w:rPr>
        <w:t xml:space="preserve"> </w:t>
      </w:r>
      <w:r w:rsidR="00804E4F" w:rsidRPr="007647B4">
        <w:rPr>
          <w:rFonts w:asciiTheme="minorHAnsi" w:hAnsiTheme="minorHAnsi" w:cstheme="minorHAnsi"/>
          <w:sz w:val="22"/>
          <w:szCs w:val="22"/>
        </w:rPr>
        <w:t xml:space="preserve">40300(m)). We would further recommend prohibiting </w:t>
      </w:r>
      <w:r w:rsidR="00316817" w:rsidRPr="007647B4">
        <w:rPr>
          <w:rFonts w:asciiTheme="minorHAnsi" w:hAnsiTheme="minorHAnsi" w:cstheme="minorHAnsi"/>
          <w:color w:val="000000" w:themeColor="text1"/>
          <w:sz w:val="22"/>
          <w:szCs w:val="22"/>
        </w:rPr>
        <w:t>products that (1) resemble a non-cannabis consumer product of a type that is typically consumed by, or marketed to, children or youth such as a specific candy or baked treats;</w:t>
      </w:r>
      <w:r w:rsidR="00DA6B6F" w:rsidRPr="007647B4">
        <w:rPr>
          <w:rFonts w:asciiTheme="minorHAnsi" w:hAnsiTheme="minorHAnsi" w:cstheme="minorHAnsi"/>
          <w:color w:val="000000" w:themeColor="text1"/>
          <w:sz w:val="22"/>
          <w:szCs w:val="22"/>
        </w:rPr>
        <w:t xml:space="preserve"> </w:t>
      </w:r>
      <w:r w:rsidR="00316817" w:rsidRPr="007647B4">
        <w:rPr>
          <w:rFonts w:asciiTheme="minorHAnsi" w:hAnsiTheme="minorHAnsi" w:cstheme="minorHAnsi"/>
          <w:color w:val="000000" w:themeColor="text1"/>
          <w:sz w:val="22"/>
          <w:szCs w:val="22"/>
        </w:rPr>
        <w:t>(</w:t>
      </w:r>
      <w:r w:rsidR="00804E4F" w:rsidRPr="007647B4">
        <w:rPr>
          <w:rFonts w:asciiTheme="minorHAnsi" w:hAnsiTheme="minorHAnsi" w:cstheme="minorHAnsi"/>
          <w:color w:val="000000" w:themeColor="text1"/>
          <w:sz w:val="22"/>
          <w:szCs w:val="22"/>
        </w:rPr>
        <w:t>2</w:t>
      </w:r>
      <w:r w:rsidR="00316817" w:rsidRPr="007647B4">
        <w:rPr>
          <w:rFonts w:asciiTheme="minorHAnsi" w:hAnsiTheme="minorHAnsi" w:cstheme="minorHAnsi"/>
          <w:color w:val="000000" w:themeColor="text1"/>
          <w:sz w:val="22"/>
          <w:szCs w:val="22"/>
        </w:rPr>
        <w:t>) that are edible in the form of baked or other grain-based goods typically marketed to youth or sent to school, such as Rice Krispies treats, cupcakes, granola bars, and animal crackers, that may be mistaken for non-cannabis products.</w:t>
      </w:r>
      <w:r w:rsidR="00DA6B6F" w:rsidRPr="007647B4">
        <w:rPr>
          <w:rFonts w:asciiTheme="minorHAnsi" w:hAnsiTheme="minorHAnsi" w:cstheme="minorHAnsi"/>
          <w:color w:val="000000" w:themeColor="text1"/>
          <w:sz w:val="22"/>
          <w:szCs w:val="22"/>
        </w:rPr>
        <w:t xml:space="preserve"> </w:t>
      </w:r>
    </w:p>
    <w:p w14:paraId="6A26DA80" w14:textId="497CF9F1" w:rsidR="00316817" w:rsidRPr="007647B4" w:rsidRDefault="00316817" w:rsidP="003B2510">
      <w:pPr>
        <w:jc w:val="both"/>
        <w:rPr>
          <w:rFonts w:asciiTheme="minorHAnsi" w:hAnsiTheme="minorHAnsi" w:cstheme="minorHAnsi"/>
          <w:color w:val="000000" w:themeColor="text1"/>
          <w:sz w:val="22"/>
          <w:szCs w:val="22"/>
        </w:rPr>
      </w:pPr>
    </w:p>
    <w:p w14:paraId="14D63239" w14:textId="43980415" w:rsidR="00316817" w:rsidRPr="007647B4" w:rsidRDefault="00932F13" w:rsidP="007647B4">
      <w:pPr>
        <w:ind w:firstLine="720"/>
        <w:jc w:val="both"/>
        <w:rPr>
          <w:rFonts w:asciiTheme="minorHAnsi" w:hAnsiTheme="minorHAnsi" w:cstheme="minorHAnsi"/>
          <w:color w:val="000000" w:themeColor="text1"/>
          <w:sz w:val="22"/>
          <w:szCs w:val="22"/>
        </w:rPr>
      </w:pPr>
      <w:r w:rsidRPr="007647B4">
        <w:rPr>
          <w:rFonts w:asciiTheme="minorHAnsi" w:hAnsiTheme="minorHAnsi" w:cstheme="minorHAnsi"/>
          <w:b/>
          <w:color w:val="000000" w:themeColor="text1"/>
          <w:sz w:val="22"/>
          <w:szCs w:val="22"/>
        </w:rPr>
        <w:t>4</w:t>
      </w:r>
      <w:r w:rsidR="002F3B3D" w:rsidRPr="007647B4">
        <w:rPr>
          <w:rFonts w:asciiTheme="minorHAnsi" w:hAnsiTheme="minorHAnsi" w:cstheme="minorHAnsi"/>
          <w:b/>
          <w:color w:val="000000" w:themeColor="text1"/>
          <w:sz w:val="22"/>
          <w:szCs w:val="22"/>
        </w:rPr>
        <w:t>.</w:t>
      </w:r>
      <w:r w:rsidR="00316817" w:rsidRPr="007647B4">
        <w:rPr>
          <w:rFonts w:asciiTheme="minorHAnsi" w:hAnsiTheme="minorHAnsi" w:cstheme="minorHAnsi"/>
          <w:b/>
          <w:color w:val="000000" w:themeColor="text1"/>
          <w:sz w:val="22"/>
          <w:szCs w:val="22"/>
        </w:rPr>
        <w:t>b</w:t>
      </w:r>
      <w:r w:rsidR="002F3B3D" w:rsidRPr="007647B4">
        <w:rPr>
          <w:rFonts w:asciiTheme="minorHAnsi" w:hAnsiTheme="minorHAnsi" w:cstheme="minorHAnsi"/>
          <w:b/>
          <w:color w:val="000000" w:themeColor="text1"/>
          <w:sz w:val="22"/>
          <w:szCs w:val="22"/>
        </w:rPr>
        <w:t>.</w:t>
      </w:r>
      <w:r w:rsidRPr="007647B4">
        <w:rPr>
          <w:rFonts w:asciiTheme="minorHAnsi" w:hAnsiTheme="minorHAnsi" w:cstheme="minorHAnsi"/>
          <w:b/>
          <w:color w:val="000000" w:themeColor="text1"/>
          <w:sz w:val="22"/>
          <w:szCs w:val="22"/>
        </w:rPr>
        <w:t>)</w:t>
      </w:r>
      <w:r w:rsidR="00316817" w:rsidRPr="007647B4">
        <w:rPr>
          <w:rFonts w:asciiTheme="minorHAnsi" w:hAnsiTheme="minorHAnsi" w:cstheme="minorHAnsi"/>
          <w:color w:val="000000" w:themeColor="text1"/>
          <w:sz w:val="22"/>
          <w:szCs w:val="22"/>
        </w:rPr>
        <w:t xml:space="preserve"> In packaging and labeling, this should include packaging or labeling that (1) resembles packaging or labeling of a non-cannabis consumer product of a type that is typically consumed by, or marketed to, youth; (2) includes images depicting a </w:t>
      </w:r>
      <w:r w:rsidR="00613806" w:rsidRPr="007647B4">
        <w:rPr>
          <w:rFonts w:asciiTheme="minorHAnsi" w:hAnsiTheme="minorHAnsi" w:cstheme="minorHAnsi"/>
          <w:color w:val="000000" w:themeColor="text1"/>
          <w:sz w:val="22"/>
          <w:szCs w:val="22"/>
        </w:rPr>
        <w:t>c</w:t>
      </w:r>
      <w:r w:rsidR="00316817" w:rsidRPr="007647B4">
        <w:rPr>
          <w:rFonts w:asciiTheme="minorHAnsi" w:hAnsiTheme="minorHAnsi" w:cstheme="minorHAnsi"/>
          <w:color w:val="000000" w:themeColor="text1"/>
          <w:sz w:val="22"/>
          <w:szCs w:val="22"/>
        </w:rPr>
        <w:t xml:space="preserve">artoon, animal or other animate creature, toy, candy, baked good, vehicle, or robot; (3) includes text describing a </w:t>
      </w:r>
      <w:r w:rsidR="00613806" w:rsidRPr="007647B4">
        <w:rPr>
          <w:rFonts w:asciiTheme="minorHAnsi" w:hAnsiTheme="minorHAnsi" w:cstheme="minorHAnsi"/>
          <w:color w:val="000000" w:themeColor="text1"/>
          <w:sz w:val="22"/>
          <w:szCs w:val="22"/>
        </w:rPr>
        <w:t>c</w:t>
      </w:r>
      <w:r w:rsidR="00316817" w:rsidRPr="007647B4">
        <w:rPr>
          <w:rFonts w:asciiTheme="minorHAnsi" w:hAnsiTheme="minorHAnsi" w:cstheme="minorHAnsi"/>
          <w:color w:val="000000" w:themeColor="text1"/>
          <w:sz w:val="22"/>
          <w:szCs w:val="22"/>
        </w:rPr>
        <w:t xml:space="preserve">artoon, animal or other animate creature, toy, vehicle, or robot; (4) </w:t>
      </w:r>
      <w:r w:rsidR="00613806" w:rsidRPr="007647B4">
        <w:rPr>
          <w:rFonts w:asciiTheme="minorHAnsi" w:hAnsiTheme="minorHAnsi" w:cstheme="minorHAnsi"/>
          <w:color w:val="000000" w:themeColor="text1"/>
          <w:sz w:val="22"/>
          <w:szCs w:val="22"/>
        </w:rPr>
        <w:t>a</w:t>
      </w:r>
      <w:r w:rsidR="00316817" w:rsidRPr="007647B4">
        <w:rPr>
          <w:rFonts w:asciiTheme="minorHAnsi" w:hAnsiTheme="minorHAnsi" w:cstheme="minorHAnsi"/>
          <w:color w:val="000000" w:themeColor="text1"/>
          <w:sz w:val="22"/>
          <w:szCs w:val="22"/>
        </w:rPr>
        <w:t xml:space="preserve">ny likeness to images, characters, or phrases that are popularly used to advertise to children; or (5) describes any characterizing flavor except that for edible products only terms such as “lemon-flavored” describing a characterizing flavor may be used, and only in font sizes that do not exceed that of the largest word in the “Warning” on the packages. </w:t>
      </w:r>
    </w:p>
    <w:p w14:paraId="5A8D778E" w14:textId="78516B54" w:rsidR="00316817" w:rsidRPr="007647B4" w:rsidRDefault="00316817" w:rsidP="003B2510">
      <w:pPr>
        <w:jc w:val="both"/>
        <w:rPr>
          <w:rFonts w:asciiTheme="minorHAnsi" w:hAnsiTheme="minorHAnsi" w:cstheme="minorHAnsi"/>
          <w:color w:val="000000" w:themeColor="text1"/>
          <w:sz w:val="22"/>
          <w:szCs w:val="22"/>
        </w:rPr>
      </w:pPr>
    </w:p>
    <w:p w14:paraId="3A0EA798" w14:textId="5FE0C270" w:rsidR="00316817" w:rsidRPr="007647B4" w:rsidRDefault="00932F13" w:rsidP="007647B4">
      <w:pPr>
        <w:ind w:firstLine="720"/>
        <w:jc w:val="both"/>
        <w:rPr>
          <w:rFonts w:asciiTheme="minorHAnsi" w:hAnsiTheme="minorHAnsi" w:cstheme="minorHAnsi"/>
          <w:color w:val="000000" w:themeColor="text1"/>
          <w:sz w:val="22"/>
          <w:szCs w:val="22"/>
        </w:rPr>
      </w:pPr>
      <w:r w:rsidRPr="007647B4">
        <w:rPr>
          <w:rFonts w:asciiTheme="minorHAnsi" w:hAnsiTheme="minorHAnsi" w:cstheme="minorHAnsi"/>
          <w:b/>
          <w:color w:val="000000" w:themeColor="text1"/>
          <w:sz w:val="22"/>
          <w:szCs w:val="22"/>
        </w:rPr>
        <w:t>4</w:t>
      </w:r>
      <w:r w:rsidR="002F3B3D" w:rsidRPr="007647B4">
        <w:rPr>
          <w:rFonts w:asciiTheme="minorHAnsi" w:hAnsiTheme="minorHAnsi" w:cstheme="minorHAnsi"/>
          <w:b/>
          <w:color w:val="000000" w:themeColor="text1"/>
          <w:sz w:val="22"/>
          <w:szCs w:val="22"/>
        </w:rPr>
        <w:t>.</w:t>
      </w:r>
      <w:r w:rsidR="00316817" w:rsidRPr="007647B4">
        <w:rPr>
          <w:rFonts w:asciiTheme="minorHAnsi" w:hAnsiTheme="minorHAnsi" w:cstheme="minorHAnsi"/>
          <w:b/>
          <w:color w:val="000000" w:themeColor="text1"/>
          <w:sz w:val="22"/>
          <w:szCs w:val="22"/>
        </w:rPr>
        <w:t>c</w:t>
      </w:r>
      <w:r w:rsidR="002F3B3D" w:rsidRPr="007647B4">
        <w:rPr>
          <w:rFonts w:asciiTheme="minorHAnsi" w:hAnsiTheme="minorHAnsi" w:cstheme="minorHAnsi"/>
          <w:b/>
          <w:color w:val="000000" w:themeColor="text1"/>
          <w:sz w:val="22"/>
          <w:szCs w:val="22"/>
        </w:rPr>
        <w:t>.</w:t>
      </w:r>
      <w:r w:rsidRPr="007647B4">
        <w:rPr>
          <w:rFonts w:asciiTheme="minorHAnsi" w:hAnsiTheme="minorHAnsi" w:cstheme="minorHAnsi"/>
          <w:b/>
          <w:color w:val="000000" w:themeColor="text1"/>
          <w:sz w:val="22"/>
          <w:szCs w:val="22"/>
        </w:rPr>
        <w:t>)</w:t>
      </w:r>
      <w:r w:rsidR="00316817" w:rsidRPr="007647B4">
        <w:rPr>
          <w:rFonts w:asciiTheme="minorHAnsi" w:hAnsiTheme="minorHAnsi" w:cstheme="minorHAnsi"/>
          <w:color w:val="000000" w:themeColor="text1"/>
          <w:sz w:val="22"/>
          <w:szCs w:val="22"/>
        </w:rPr>
        <w:t xml:space="preserve"> In advertising, this should include (1) appeals that mimic advertising of a non-cannabis consumer product of a type that is typically consumed by, or marketed to children or youth; (2) the depiction of </w:t>
      </w:r>
      <w:r w:rsidR="00613806" w:rsidRPr="007647B4">
        <w:rPr>
          <w:rFonts w:asciiTheme="minorHAnsi" w:hAnsiTheme="minorHAnsi" w:cstheme="minorHAnsi"/>
          <w:color w:val="000000" w:themeColor="text1"/>
          <w:sz w:val="22"/>
          <w:szCs w:val="22"/>
        </w:rPr>
        <w:t>c</w:t>
      </w:r>
      <w:r w:rsidR="00316817" w:rsidRPr="007647B4">
        <w:rPr>
          <w:rFonts w:asciiTheme="minorHAnsi" w:hAnsiTheme="minorHAnsi" w:cstheme="minorHAnsi"/>
          <w:color w:val="000000" w:themeColor="text1"/>
          <w:sz w:val="22"/>
          <w:szCs w:val="22"/>
        </w:rPr>
        <w:t xml:space="preserve">artoons, animals or other animate creatures, toys, candy, baked goods, vehicles or robots typically marketed to youth; (2) the use of actors or characters who appear to be under age 21 or are under age 25; (3) the use of celebrities who specifically appeal to youth; or (4) the use of images, sound or language that associate </w:t>
      </w:r>
      <w:r w:rsidR="00613806" w:rsidRPr="007647B4">
        <w:rPr>
          <w:rFonts w:asciiTheme="minorHAnsi" w:hAnsiTheme="minorHAnsi" w:cstheme="minorHAnsi"/>
          <w:color w:val="000000" w:themeColor="text1"/>
          <w:sz w:val="22"/>
          <w:szCs w:val="22"/>
        </w:rPr>
        <w:t>c</w:t>
      </w:r>
      <w:r w:rsidR="00316817" w:rsidRPr="007647B4">
        <w:rPr>
          <w:rFonts w:asciiTheme="minorHAnsi" w:hAnsiTheme="minorHAnsi" w:cstheme="minorHAnsi"/>
          <w:color w:val="000000" w:themeColor="text1"/>
          <w:sz w:val="22"/>
          <w:szCs w:val="22"/>
        </w:rPr>
        <w:t>annabis, directly or indirectly, with outcomes such as social acceptance, wealth, romance, or success in physical activities/sports.</w:t>
      </w:r>
    </w:p>
    <w:p w14:paraId="668F5F50" w14:textId="3E7F4678" w:rsidR="00316817" w:rsidRPr="007647B4" w:rsidRDefault="00316817" w:rsidP="003B2510">
      <w:pPr>
        <w:jc w:val="both"/>
        <w:rPr>
          <w:rFonts w:asciiTheme="minorHAnsi" w:hAnsiTheme="minorHAnsi" w:cstheme="minorHAnsi"/>
          <w:color w:val="000000" w:themeColor="text1"/>
          <w:sz w:val="22"/>
          <w:szCs w:val="22"/>
        </w:rPr>
      </w:pPr>
    </w:p>
    <w:p w14:paraId="19A4DD63" w14:textId="51D3BF7F" w:rsidR="00316817" w:rsidRPr="007647B4" w:rsidRDefault="00932F13" w:rsidP="007647B4">
      <w:pPr>
        <w:ind w:firstLine="720"/>
        <w:jc w:val="both"/>
        <w:rPr>
          <w:rFonts w:asciiTheme="minorHAnsi" w:hAnsiTheme="minorHAnsi" w:cstheme="minorHAnsi"/>
          <w:color w:val="000000" w:themeColor="text1"/>
          <w:sz w:val="22"/>
          <w:szCs w:val="22"/>
        </w:rPr>
      </w:pPr>
      <w:r w:rsidRPr="007647B4">
        <w:rPr>
          <w:rFonts w:asciiTheme="minorHAnsi" w:hAnsiTheme="minorHAnsi" w:cstheme="minorHAnsi"/>
          <w:b/>
          <w:color w:val="000000" w:themeColor="text1"/>
          <w:sz w:val="22"/>
          <w:szCs w:val="22"/>
        </w:rPr>
        <w:lastRenderedPageBreak/>
        <w:t>4</w:t>
      </w:r>
      <w:r w:rsidR="002F3B3D" w:rsidRPr="007647B4">
        <w:rPr>
          <w:rFonts w:asciiTheme="minorHAnsi" w:hAnsiTheme="minorHAnsi" w:cstheme="minorHAnsi"/>
          <w:b/>
          <w:color w:val="000000" w:themeColor="text1"/>
          <w:sz w:val="22"/>
          <w:szCs w:val="22"/>
        </w:rPr>
        <w:t>.</w:t>
      </w:r>
      <w:r w:rsidR="00316817" w:rsidRPr="007647B4">
        <w:rPr>
          <w:rFonts w:asciiTheme="minorHAnsi" w:hAnsiTheme="minorHAnsi" w:cstheme="minorHAnsi"/>
          <w:b/>
          <w:color w:val="000000" w:themeColor="text1"/>
          <w:sz w:val="22"/>
          <w:szCs w:val="22"/>
        </w:rPr>
        <w:t>d</w:t>
      </w:r>
      <w:r w:rsidR="002F3B3D" w:rsidRPr="007647B4">
        <w:rPr>
          <w:rFonts w:asciiTheme="minorHAnsi" w:hAnsiTheme="minorHAnsi" w:cstheme="minorHAnsi"/>
          <w:b/>
          <w:color w:val="000000" w:themeColor="text1"/>
          <w:sz w:val="22"/>
          <w:szCs w:val="22"/>
        </w:rPr>
        <w:t>.</w:t>
      </w:r>
      <w:r w:rsidRPr="007647B4">
        <w:rPr>
          <w:rFonts w:asciiTheme="minorHAnsi" w:hAnsiTheme="minorHAnsi" w:cstheme="minorHAnsi"/>
          <w:b/>
          <w:color w:val="000000" w:themeColor="text1"/>
          <w:sz w:val="22"/>
          <w:szCs w:val="22"/>
        </w:rPr>
        <w:t>)</w:t>
      </w:r>
      <w:r w:rsidR="00DA6B6F" w:rsidRPr="007647B4">
        <w:rPr>
          <w:rFonts w:asciiTheme="minorHAnsi" w:hAnsiTheme="minorHAnsi" w:cstheme="minorHAnsi"/>
          <w:color w:val="000000" w:themeColor="text1"/>
          <w:sz w:val="22"/>
          <w:szCs w:val="22"/>
        </w:rPr>
        <w:t xml:space="preserve"> </w:t>
      </w:r>
      <w:r w:rsidR="00316817" w:rsidRPr="007647B4">
        <w:rPr>
          <w:rFonts w:asciiTheme="minorHAnsi" w:hAnsiTheme="minorHAnsi" w:cstheme="minorHAnsi"/>
          <w:color w:val="000000" w:themeColor="text1"/>
          <w:sz w:val="22"/>
          <w:szCs w:val="22"/>
        </w:rPr>
        <w:t>Cartoon can be defined as: any animation, drawing or other depiction of an object, person, animal, creature or similar caricature that satisfies any of the following criteria:</w:t>
      </w:r>
    </w:p>
    <w:p w14:paraId="28C3DE73" w14:textId="7A88B9D3" w:rsidR="00316817" w:rsidRPr="007647B4" w:rsidRDefault="00316817"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ab/>
        <w:t xml:space="preserve"> i. </w:t>
      </w:r>
      <w:r w:rsidRPr="007647B4">
        <w:rPr>
          <w:rFonts w:asciiTheme="minorHAnsi" w:hAnsiTheme="minorHAnsi" w:cstheme="minorHAnsi"/>
          <w:color w:val="000000" w:themeColor="text1"/>
          <w:sz w:val="22"/>
          <w:szCs w:val="22"/>
        </w:rPr>
        <w:tab/>
        <w:t xml:space="preserve">The use of comically exaggerated features; </w:t>
      </w:r>
    </w:p>
    <w:p w14:paraId="0290262B" w14:textId="6C512790" w:rsidR="00316817" w:rsidRPr="007647B4" w:rsidRDefault="00316817"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ab/>
        <w:t xml:space="preserve">ii. </w:t>
      </w:r>
      <w:r w:rsidRPr="007647B4">
        <w:rPr>
          <w:rFonts w:asciiTheme="minorHAnsi" w:hAnsiTheme="minorHAnsi" w:cstheme="minorHAnsi"/>
          <w:color w:val="000000" w:themeColor="text1"/>
          <w:sz w:val="22"/>
          <w:szCs w:val="22"/>
        </w:rPr>
        <w:tab/>
        <w:t xml:space="preserve">The attribution of human characteristics to animals, plants or other </w:t>
      </w:r>
      <w:r w:rsidR="003E420C" w:rsidRPr="007647B4">
        <w:rPr>
          <w:rFonts w:asciiTheme="minorHAnsi" w:hAnsiTheme="minorHAnsi" w:cstheme="minorHAnsi"/>
          <w:color w:val="000000" w:themeColor="text1"/>
          <w:sz w:val="22"/>
          <w:szCs w:val="22"/>
        </w:rPr>
        <w:tab/>
      </w:r>
      <w:r w:rsidR="003E420C" w:rsidRPr="007647B4">
        <w:rPr>
          <w:rFonts w:asciiTheme="minorHAnsi" w:hAnsiTheme="minorHAnsi" w:cstheme="minorHAnsi"/>
          <w:color w:val="000000" w:themeColor="text1"/>
          <w:sz w:val="22"/>
          <w:szCs w:val="22"/>
        </w:rPr>
        <w:tab/>
      </w:r>
      <w:r w:rsidR="003E420C" w:rsidRPr="007647B4">
        <w:rPr>
          <w:rFonts w:asciiTheme="minorHAnsi" w:hAnsiTheme="minorHAnsi" w:cstheme="minorHAnsi"/>
          <w:color w:val="000000" w:themeColor="text1"/>
          <w:sz w:val="22"/>
          <w:szCs w:val="22"/>
        </w:rPr>
        <w:tab/>
      </w:r>
      <w:r w:rsidR="003E420C" w:rsidRPr="007647B4">
        <w:rPr>
          <w:rFonts w:asciiTheme="minorHAnsi" w:hAnsiTheme="minorHAnsi" w:cstheme="minorHAnsi"/>
          <w:color w:val="000000" w:themeColor="text1"/>
          <w:sz w:val="22"/>
          <w:szCs w:val="22"/>
        </w:rPr>
        <w:tab/>
      </w:r>
      <w:r w:rsidR="003A241C" w:rsidRPr="007647B4">
        <w:rPr>
          <w:rFonts w:asciiTheme="minorHAnsi" w:hAnsiTheme="minorHAnsi" w:cstheme="minorHAnsi"/>
          <w:color w:val="000000" w:themeColor="text1"/>
          <w:sz w:val="22"/>
          <w:szCs w:val="22"/>
        </w:rPr>
        <w:tab/>
      </w:r>
      <w:r w:rsidRPr="007647B4">
        <w:rPr>
          <w:rFonts w:asciiTheme="minorHAnsi" w:hAnsiTheme="minorHAnsi" w:cstheme="minorHAnsi"/>
          <w:color w:val="000000" w:themeColor="text1"/>
          <w:sz w:val="22"/>
          <w:szCs w:val="22"/>
        </w:rPr>
        <w:t xml:space="preserve">objects, or the similar use of anthropomorphic technique; or </w:t>
      </w:r>
    </w:p>
    <w:p w14:paraId="54CF74A8" w14:textId="023B7329" w:rsidR="00316817" w:rsidRPr="007647B4" w:rsidRDefault="00316817"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ab/>
        <w:t xml:space="preserve">iii. </w:t>
      </w:r>
      <w:r w:rsidRPr="007647B4">
        <w:rPr>
          <w:rFonts w:asciiTheme="minorHAnsi" w:hAnsiTheme="minorHAnsi" w:cstheme="minorHAnsi"/>
          <w:color w:val="000000" w:themeColor="text1"/>
          <w:sz w:val="22"/>
          <w:szCs w:val="22"/>
        </w:rPr>
        <w:tab/>
        <w:t xml:space="preserve">The attribution of super, unnatural or extra-human abilities, such as </w:t>
      </w:r>
      <w:r w:rsidRPr="007647B4">
        <w:rPr>
          <w:rFonts w:asciiTheme="minorHAnsi" w:hAnsiTheme="minorHAnsi" w:cstheme="minorHAnsi"/>
          <w:color w:val="000000" w:themeColor="text1"/>
          <w:sz w:val="22"/>
          <w:szCs w:val="22"/>
        </w:rPr>
        <w:tab/>
      </w:r>
      <w:r w:rsidRPr="007647B4">
        <w:rPr>
          <w:rFonts w:asciiTheme="minorHAnsi" w:hAnsiTheme="minorHAnsi" w:cstheme="minorHAnsi"/>
          <w:color w:val="000000" w:themeColor="text1"/>
          <w:sz w:val="22"/>
          <w:szCs w:val="22"/>
        </w:rPr>
        <w:tab/>
      </w:r>
      <w:r w:rsidRPr="007647B4">
        <w:rPr>
          <w:rFonts w:asciiTheme="minorHAnsi" w:hAnsiTheme="minorHAnsi" w:cstheme="minorHAnsi"/>
          <w:color w:val="000000" w:themeColor="text1"/>
          <w:sz w:val="22"/>
          <w:szCs w:val="22"/>
        </w:rPr>
        <w:tab/>
      </w:r>
      <w:r w:rsidRPr="007647B4">
        <w:rPr>
          <w:rFonts w:asciiTheme="minorHAnsi" w:hAnsiTheme="minorHAnsi" w:cstheme="minorHAnsi"/>
          <w:color w:val="000000" w:themeColor="text1"/>
          <w:sz w:val="22"/>
          <w:szCs w:val="22"/>
        </w:rPr>
        <w:tab/>
      </w:r>
      <w:r w:rsidR="003A241C" w:rsidRPr="007647B4">
        <w:rPr>
          <w:rFonts w:asciiTheme="minorHAnsi" w:hAnsiTheme="minorHAnsi" w:cstheme="minorHAnsi"/>
          <w:color w:val="000000" w:themeColor="text1"/>
          <w:sz w:val="22"/>
          <w:szCs w:val="22"/>
        </w:rPr>
        <w:tab/>
      </w:r>
      <w:r w:rsidRPr="007647B4">
        <w:rPr>
          <w:rFonts w:asciiTheme="minorHAnsi" w:hAnsiTheme="minorHAnsi" w:cstheme="minorHAnsi"/>
          <w:color w:val="000000" w:themeColor="text1"/>
          <w:sz w:val="22"/>
          <w:szCs w:val="22"/>
        </w:rPr>
        <w:t>imperviousness to pain or injury, X-ray vision, tunneling at very hig</w:t>
      </w:r>
      <w:r w:rsidR="003A241C" w:rsidRPr="007647B4">
        <w:rPr>
          <w:rFonts w:asciiTheme="minorHAnsi" w:hAnsiTheme="minorHAnsi" w:cstheme="minorHAnsi"/>
          <w:color w:val="000000" w:themeColor="text1"/>
          <w:sz w:val="22"/>
          <w:szCs w:val="22"/>
        </w:rPr>
        <w:t xml:space="preserve">h </w:t>
      </w:r>
      <w:r w:rsidRPr="007647B4">
        <w:rPr>
          <w:rFonts w:asciiTheme="minorHAnsi" w:hAnsiTheme="minorHAnsi" w:cstheme="minorHAnsi"/>
          <w:color w:val="000000" w:themeColor="text1"/>
          <w:sz w:val="22"/>
          <w:szCs w:val="22"/>
        </w:rPr>
        <w:t xml:space="preserve">speeds or </w:t>
      </w:r>
      <w:r w:rsidR="003A241C" w:rsidRPr="007647B4">
        <w:rPr>
          <w:rFonts w:asciiTheme="minorHAnsi" w:hAnsiTheme="minorHAnsi" w:cstheme="minorHAnsi"/>
          <w:color w:val="000000" w:themeColor="text1"/>
          <w:sz w:val="22"/>
          <w:szCs w:val="22"/>
        </w:rPr>
        <w:tab/>
      </w:r>
      <w:r w:rsidR="003A241C" w:rsidRPr="007647B4">
        <w:rPr>
          <w:rFonts w:asciiTheme="minorHAnsi" w:hAnsiTheme="minorHAnsi" w:cstheme="minorHAnsi"/>
          <w:color w:val="000000" w:themeColor="text1"/>
          <w:sz w:val="22"/>
          <w:szCs w:val="22"/>
        </w:rPr>
        <w:tab/>
      </w:r>
      <w:r w:rsidR="003A241C" w:rsidRPr="007647B4">
        <w:rPr>
          <w:rFonts w:asciiTheme="minorHAnsi" w:hAnsiTheme="minorHAnsi" w:cstheme="minorHAnsi"/>
          <w:color w:val="000000" w:themeColor="text1"/>
          <w:sz w:val="22"/>
          <w:szCs w:val="22"/>
        </w:rPr>
        <w:tab/>
      </w:r>
      <w:r w:rsidR="003A241C" w:rsidRPr="007647B4">
        <w:rPr>
          <w:rFonts w:asciiTheme="minorHAnsi" w:hAnsiTheme="minorHAnsi" w:cstheme="minorHAnsi"/>
          <w:color w:val="000000" w:themeColor="text1"/>
          <w:sz w:val="22"/>
          <w:szCs w:val="22"/>
        </w:rPr>
        <w:tab/>
      </w:r>
      <w:r w:rsidRPr="007647B4">
        <w:rPr>
          <w:rFonts w:asciiTheme="minorHAnsi" w:hAnsiTheme="minorHAnsi" w:cstheme="minorHAnsi"/>
          <w:color w:val="000000" w:themeColor="text1"/>
          <w:sz w:val="22"/>
          <w:szCs w:val="22"/>
        </w:rPr>
        <w:t>transformation.</w:t>
      </w:r>
    </w:p>
    <w:p w14:paraId="33BF4515" w14:textId="10B6D264" w:rsidR="00316817" w:rsidRPr="007647B4" w:rsidRDefault="00316817" w:rsidP="003B2510">
      <w:pPr>
        <w:jc w:val="both"/>
        <w:rPr>
          <w:rFonts w:asciiTheme="minorHAnsi" w:hAnsiTheme="minorHAnsi" w:cstheme="minorHAnsi"/>
          <w:color w:val="000000" w:themeColor="text1"/>
          <w:sz w:val="22"/>
          <w:szCs w:val="22"/>
        </w:rPr>
      </w:pPr>
    </w:p>
    <w:p w14:paraId="464D32A5" w14:textId="61C0839C" w:rsidR="0047760D" w:rsidRPr="007647B4" w:rsidRDefault="0047760D"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These recommendations are based on a systematic review of the literature on youth perceptions of advertising for alcohol, tobacco and food, which identified specific content features to which minors are particularly susceptible due to their unique developmental stage, propensity for high risk behaviors, and relative inexperience with consumptio</w:t>
      </w:r>
      <w:r w:rsidR="00EC0B2E" w:rsidRPr="007647B4">
        <w:rPr>
          <w:rFonts w:asciiTheme="minorHAnsi" w:hAnsiTheme="minorHAnsi" w:cstheme="minorHAnsi"/>
          <w:color w:val="000000" w:themeColor="text1"/>
          <w:sz w:val="22"/>
          <w:szCs w:val="22"/>
        </w:rPr>
        <w:t>n of alcohol and tobacco.</w:t>
      </w:r>
      <w:r w:rsidR="005068E0" w:rsidRPr="007647B4">
        <w:rPr>
          <w:rStyle w:val="FootnoteReference"/>
          <w:rFonts w:asciiTheme="minorHAnsi" w:hAnsiTheme="minorHAnsi" w:cstheme="minorHAnsi"/>
          <w:color w:val="000000" w:themeColor="text1"/>
          <w:sz w:val="22"/>
          <w:szCs w:val="22"/>
        </w:rPr>
        <w:footnoteReference w:id="89"/>
      </w:r>
      <w:r w:rsidR="00D74832" w:rsidRPr="007647B4">
        <w:rPr>
          <w:rFonts w:asciiTheme="minorHAnsi" w:hAnsiTheme="minorHAnsi" w:cstheme="minorHAnsi"/>
          <w:color w:val="000000" w:themeColor="text1"/>
          <w:sz w:val="22"/>
          <w:szCs w:val="22"/>
          <w:vertAlign w:val="superscript"/>
        </w:rPr>
        <w:t>,</w:t>
      </w:r>
      <w:r w:rsidR="005068E0" w:rsidRPr="007647B4">
        <w:rPr>
          <w:rStyle w:val="FootnoteReference"/>
          <w:rFonts w:asciiTheme="minorHAnsi" w:hAnsiTheme="minorHAnsi" w:cstheme="minorHAnsi"/>
          <w:color w:val="000000" w:themeColor="text1"/>
          <w:sz w:val="22"/>
          <w:szCs w:val="22"/>
        </w:rPr>
        <w:footnoteReference w:id="90"/>
      </w:r>
      <w:r w:rsidR="00D74832" w:rsidRPr="007647B4">
        <w:rPr>
          <w:rFonts w:asciiTheme="minorHAnsi" w:hAnsiTheme="minorHAnsi" w:cstheme="minorHAnsi"/>
          <w:color w:val="000000" w:themeColor="text1"/>
          <w:sz w:val="22"/>
          <w:szCs w:val="22"/>
          <w:vertAlign w:val="superscript"/>
        </w:rPr>
        <w:t>,</w:t>
      </w:r>
      <w:r w:rsidR="005068E0" w:rsidRPr="007647B4">
        <w:rPr>
          <w:rStyle w:val="FootnoteReference"/>
          <w:rFonts w:asciiTheme="minorHAnsi" w:hAnsiTheme="minorHAnsi" w:cstheme="minorHAnsi"/>
          <w:color w:val="000000" w:themeColor="text1"/>
          <w:sz w:val="22"/>
          <w:szCs w:val="22"/>
        </w:rPr>
        <w:footnoteReference w:id="91"/>
      </w:r>
      <w:r w:rsidR="00D74832" w:rsidRPr="007647B4">
        <w:rPr>
          <w:rFonts w:asciiTheme="minorHAnsi" w:hAnsiTheme="minorHAnsi" w:cstheme="minorHAnsi"/>
          <w:color w:val="000000" w:themeColor="text1"/>
          <w:sz w:val="22"/>
          <w:szCs w:val="22"/>
          <w:vertAlign w:val="superscript"/>
        </w:rPr>
        <w:t>,</w:t>
      </w:r>
      <w:r w:rsidR="005068E0" w:rsidRPr="007647B4">
        <w:rPr>
          <w:rStyle w:val="FootnoteReference"/>
          <w:rFonts w:asciiTheme="minorHAnsi" w:hAnsiTheme="minorHAnsi" w:cstheme="minorHAnsi"/>
          <w:color w:val="000000" w:themeColor="text1"/>
          <w:sz w:val="22"/>
          <w:szCs w:val="22"/>
        </w:rPr>
        <w:footnoteReference w:id="92"/>
      </w:r>
      <w:r w:rsidR="00D74832" w:rsidRPr="007647B4">
        <w:rPr>
          <w:rFonts w:asciiTheme="minorHAnsi" w:hAnsiTheme="minorHAnsi" w:cstheme="minorHAnsi"/>
          <w:color w:val="000000" w:themeColor="text1"/>
          <w:sz w:val="22"/>
          <w:szCs w:val="22"/>
          <w:vertAlign w:val="superscript"/>
        </w:rPr>
        <w:t>,</w:t>
      </w:r>
      <w:r w:rsidR="005068E0" w:rsidRPr="007647B4">
        <w:rPr>
          <w:rStyle w:val="FootnoteReference"/>
          <w:rFonts w:asciiTheme="minorHAnsi" w:hAnsiTheme="minorHAnsi" w:cstheme="minorHAnsi"/>
          <w:color w:val="000000" w:themeColor="text1"/>
          <w:sz w:val="22"/>
          <w:szCs w:val="22"/>
        </w:rPr>
        <w:footnoteReference w:id="93"/>
      </w:r>
      <w:r w:rsidR="00D74832" w:rsidRPr="007647B4">
        <w:rPr>
          <w:rFonts w:asciiTheme="minorHAnsi" w:hAnsiTheme="minorHAnsi" w:cstheme="minorHAnsi"/>
          <w:color w:val="000000" w:themeColor="text1"/>
          <w:sz w:val="22"/>
          <w:szCs w:val="22"/>
          <w:vertAlign w:val="superscript"/>
        </w:rPr>
        <w:t>,</w:t>
      </w:r>
      <w:r w:rsidR="00B20245" w:rsidRPr="007647B4">
        <w:rPr>
          <w:rStyle w:val="FootnoteReference"/>
          <w:rFonts w:asciiTheme="minorHAnsi" w:hAnsiTheme="minorHAnsi" w:cstheme="minorHAnsi"/>
          <w:color w:val="000000" w:themeColor="text1"/>
          <w:sz w:val="22"/>
          <w:szCs w:val="22"/>
        </w:rPr>
        <w:footnoteReference w:id="94"/>
      </w:r>
      <w:r w:rsidR="00D74832" w:rsidRPr="007647B4">
        <w:rPr>
          <w:rFonts w:asciiTheme="minorHAnsi" w:hAnsiTheme="minorHAnsi" w:cstheme="minorHAnsi"/>
          <w:color w:val="000000" w:themeColor="text1"/>
          <w:sz w:val="22"/>
          <w:szCs w:val="22"/>
          <w:vertAlign w:val="superscript"/>
        </w:rPr>
        <w:t>,</w:t>
      </w:r>
      <w:r w:rsidR="00B20245" w:rsidRPr="007647B4">
        <w:rPr>
          <w:rStyle w:val="FootnoteReference"/>
          <w:rFonts w:asciiTheme="minorHAnsi" w:hAnsiTheme="minorHAnsi" w:cstheme="minorHAnsi"/>
          <w:color w:val="000000" w:themeColor="text1"/>
          <w:sz w:val="22"/>
          <w:szCs w:val="22"/>
        </w:rPr>
        <w:footnoteReference w:id="95"/>
      </w:r>
      <w:r w:rsidR="00B20245"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A subsequent analysis found a positive association between the use of such features in alcohol brand advertisements and youth consumption of those brands, and no association with adult alcohol consumption of those brands, suggesting that they have particular appeal to youth</w:t>
      </w:r>
      <w:r w:rsidR="00B20245" w:rsidRPr="007647B4">
        <w:rPr>
          <w:rFonts w:asciiTheme="minorHAnsi" w:hAnsiTheme="minorHAnsi" w:cstheme="minorHAnsi"/>
          <w:color w:val="000000" w:themeColor="text1"/>
          <w:sz w:val="22"/>
          <w:szCs w:val="22"/>
        </w:rPr>
        <w:t>.</w:t>
      </w:r>
      <w:r w:rsidR="00B20245" w:rsidRPr="007647B4">
        <w:rPr>
          <w:rStyle w:val="FootnoteReference"/>
          <w:rFonts w:asciiTheme="minorHAnsi" w:hAnsiTheme="minorHAnsi" w:cstheme="minorHAnsi"/>
          <w:color w:val="000000" w:themeColor="text1"/>
          <w:sz w:val="22"/>
          <w:szCs w:val="22"/>
        </w:rPr>
        <w:footnoteReference w:id="96"/>
      </w:r>
      <w:r w:rsidRPr="007647B4">
        <w:rPr>
          <w:rFonts w:asciiTheme="minorHAnsi" w:hAnsiTheme="minorHAnsi" w:cstheme="minorHAnsi"/>
          <w:color w:val="000000" w:themeColor="text1"/>
          <w:sz w:val="22"/>
          <w:szCs w:val="22"/>
        </w:rPr>
        <w:t xml:space="preserve"> Discussions with Oregon officials, who carry out product by product assessments, have noted the importance of clearly and strongly defining what it means to be attractive to youth in order for marketers to have clear instruction and to be able to assess compliance objectively. </w:t>
      </w:r>
    </w:p>
    <w:p w14:paraId="665C36CF" w14:textId="1A9CBAC9" w:rsidR="0047760D" w:rsidRPr="007647B4" w:rsidRDefault="0047760D" w:rsidP="003B2510">
      <w:pPr>
        <w:jc w:val="both"/>
        <w:rPr>
          <w:rFonts w:asciiTheme="minorHAnsi" w:hAnsiTheme="minorHAnsi" w:cstheme="minorHAnsi"/>
          <w:color w:val="000000" w:themeColor="text1"/>
          <w:sz w:val="22"/>
          <w:szCs w:val="22"/>
        </w:rPr>
      </w:pPr>
    </w:p>
    <w:p w14:paraId="18E971E4" w14:textId="45AD59C7" w:rsidR="0047760D" w:rsidRPr="007647B4" w:rsidRDefault="0047760D" w:rsidP="003B2510">
      <w:pPr>
        <w:jc w:val="both"/>
        <w:rPr>
          <w:rFonts w:asciiTheme="minorHAnsi" w:hAnsiTheme="minorHAnsi" w:cstheme="minorHAnsi"/>
          <w:b/>
          <w:color w:val="000000" w:themeColor="text1"/>
          <w:sz w:val="22"/>
          <w:szCs w:val="22"/>
        </w:rPr>
      </w:pPr>
      <w:r w:rsidRPr="007647B4">
        <w:rPr>
          <w:rFonts w:asciiTheme="minorHAnsi" w:hAnsiTheme="minorHAnsi" w:cstheme="minorHAnsi"/>
          <w:color w:val="000000" w:themeColor="text1"/>
          <w:sz w:val="22"/>
          <w:szCs w:val="22"/>
        </w:rPr>
        <w:t xml:space="preserve">The proposed regulations (§ 40410(c)) prohibit packaging with cartoons, “images, characters, or phrases that are popularly used to advertise to children,” or “imitation of candy packaging or labeling.” However, elements not “popularly used to advertise to children” often remain appealing to children and teens, including themes of social acceptance, wealth, romance, or success in physical activities/sports. A broader prohibition on such elements is necessary to prevent industry targeting of youth. </w:t>
      </w:r>
      <w:r w:rsidR="0054099B" w:rsidRPr="007647B4">
        <w:rPr>
          <w:rFonts w:asciiTheme="minorHAnsi" w:hAnsiTheme="minorHAnsi" w:cstheme="minorHAnsi"/>
          <w:color w:val="000000" w:themeColor="text1"/>
          <w:sz w:val="22"/>
          <w:szCs w:val="22"/>
        </w:rPr>
        <w:t>While we are pleased to see that the current proposed regulation has added prohibitions against alternative spellings of “candy” (including “kandy” and “kandeez”, the proposed prohibitions still do not go far enough to</w:t>
      </w:r>
      <w:r w:rsidRPr="007647B4">
        <w:rPr>
          <w:rFonts w:asciiTheme="minorHAnsi" w:hAnsiTheme="minorHAnsi" w:cstheme="minorHAnsi"/>
          <w:color w:val="000000" w:themeColor="text1"/>
          <w:sz w:val="22"/>
          <w:szCs w:val="22"/>
        </w:rPr>
        <w:t xml:space="preserve"> account for the wide variety of products that may be attractive to </w:t>
      </w:r>
      <w:r w:rsidR="00613806" w:rsidRPr="007647B4">
        <w:rPr>
          <w:rFonts w:asciiTheme="minorHAnsi" w:hAnsiTheme="minorHAnsi" w:cstheme="minorHAnsi"/>
          <w:color w:val="000000" w:themeColor="text1"/>
          <w:sz w:val="22"/>
          <w:szCs w:val="22"/>
        </w:rPr>
        <w:t>youth</w:t>
      </w:r>
      <w:r w:rsidRPr="007647B4">
        <w:rPr>
          <w:rFonts w:asciiTheme="minorHAnsi" w:hAnsiTheme="minorHAnsi" w:cstheme="minorHAnsi"/>
          <w:color w:val="000000" w:themeColor="text1"/>
          <w:sz w:val="22"/>
          <w:szCs w:val="22"/>
        </w:rPr>
        <w:t xml:space="preserve">. A complete prohibition on the imitation of all non-cannabis products, both for the product and packaging, would more effectively reduce the risk of accidental consumption. </w:t>
      </w:r>
      <w:r w:rsidRPr="007647B4">
        <w:rPr>
          <w:rFonts w:asciiTheme="minorHAnsi" w:hAnsiTheme="minorHAnsi" w:cstheme="minorHAnsi"/>
          <w:b/>
          <w:color w:val="000000" w:themeColor="text1"/>
          <w:sz w:val="22"/>
          <w:szCs w:val="22"/>
        </w:rPr>
        <w:t>Adoption of a plain packaging standard (see below) avoids interpretive problems and undermines the opportunity to use packaging to mislead consumers and unlawfully market to youth.</w:t>
      </w:r>
      <w:r w:rsidR="00DA6B6F" w:rsidRPr="007647B4">
        <w:rPr>
          <w:rFonts w:asciiTheme="minorHAnsi" w:hAnsiTheme="minorHAnsi" w:cstheme="minorHAnsi"/>
          <w:b/>
          <w:color w:val="000000" w:themeColor="text1"/>
          <w:sz w:val="22"/>
          <w:szCs w:val="22"/>
        </w:rPr>
        <w:t xml:space="preserve"> </w:t>
      </w:r>
      <w:r w:rsidR="0054099B" w:rsidRPr="007647B4">
        <w:rPr>
          <w:rFonts w:asciiTheme="minorHAnsi" w:hAnsiTheme="minorHAnsi" w:cstheme="minorHAnsi"/>
          <w:color w:val="000000" w:themeColor="text1"/>
          <w:sz w:val="22"/>
          <w:szCs w:val="22"/>
        </w:rPr>
        <w:t xml:space="preserve">The city of Santa Ana has already adopted regulations that prohibit any packaging that can be considered “attractive” to minors (Sec. 40-8(3)(j)). </w:t>
      </w:r>
    </w:p>
    <w:p w14:paraId="50CCE491" w14:textId="394B3D09" w:rsidR="0047760D" w:rsidRDefault="0047760D" w:rsidP="003B2510">
      <w:pPr>
        <w:jc w:val="both"/>
        <w:rPr>
          <w:rFonts w:asciiTheme="minorHAnsi" w:hAnsiTheme="minorHAnsi" w:cstheme="minorHAnsi"/>
          <w:b/>
          <w:color w:val="000000" w:themeColor="text1"/>
          <w:sz w:val="22"/>
          <w:szCs w:val="22"/>
        </w:rPr>
      </w:pPr>
    </w:p>
    <w:p w14:paraId="167162EE" w14:textId="77777777" w:rsidR="007647B4" w:rsidRPr="007647B4" w:rsidRDefault="007647B4" w:rsidP="003B2510">
      <w:pPr>
        <w:jc w:val="both"/>
        <w:rPr>
          <w:rFonts w:asciiTheme="minorHAnsi" w:hAnsiTheme="minorHAnsi" w:cstheme="minorHAnsi"/>
          <w:b/>
          <w:color w:val="000000" w:themeColor="text1"/>
          <w:sz w:val="22"/>
          <w:szCs w:val="22"/>
        </w:rPr>
      </w:pPr>
    </w:p>
    <w:p w14:paraId="651F9263" w14:textId="0C35B5F6" w:rsidR="0047760D" w:rsidRPr="007647B4" w:rsidRDefault="00932F13" w:rsidP="002F3B3D">
      <w:pPr>
        <w:jc w:val="both"/>
        <w:rPr>
          <w:rFonts w:asciiTheme="minorHAnsi" w:hAnsiTheme="minorHAnsi" w:cstheme="minorHAnsi"/>
          <w:b/>
          <w:color w:val="000000" w:themeColor="text1"/>
          <w:sz w:val="22"/>
          <w:szCs w:val="22"/>
        </w:rPr>
      </w:pPr>
      <w:r w:rsidRPr="007647B4">
        <w:rPr>
          <w:rFonts w:asciiTheme="minorHAnsi" w:hAnsiTheme="minorHAnsi" w:cstheme="minorHAnsi"/>
          <w:b/>
          <w:color w:val="000000" w:themeColor="text1"/>
          <w:sz w:val="22"/>
          <w:szCs w:val="22"/>
        </w:rPr>
        <w:lastRenderedPageBreak/>
        <w:t>5</w:t>
      </w:r>
      <w:r w:rsidR="0047760D" w:rsidRPr="007647B4">
        <w:rPr>
          <w:rFonts w:asciiTheme="minorHAnsi" w:hAnsiTheme="minorHAnsi" w:cstheme="minorHAnsi"/>
          <w:b/>
          <w:color w:val="000000" w:themeColor="text1"/>
          <w:sz w:val="22"/>
          <w:szCs w:val="22"/>
        </w:rPr>
        <w:t xml:space="preserve">. Increase </w:t>
      </w:r>
      <w:r w:rsidR="00B20245" w:rsidRPr="007647B4">
        <w:rPr>
          <w:rFonts w:asciiTheme="minorHAnsi" w:hAnsiTheme="minorHAnsi" w:cstheme="minorHAnsi"/>
          <w:b/>
          <w:color w:val="000000" w:themeColor="text1"/>
          <w:sz w:val="22"/>
          <w:szCs w:val="22"/>
        </w:rPr>
        <w:t>V</w:t>
      </w:r>
      <w:r w:rsidR="0047760D" w:rsidRPr="007647B4">
        <w:rPr>
          <w:rFonts w:asciiTheme="minorHAnsi" w:hAnsiTheme="minorHAnsi" w:cstheme="minorHAnsi"/>
          <w:b/>
          <w:color w:val="000000" w:themeColor="text1"/>
          <w:sz w:val="22"/>
          <w:szCs w:val="22"/>
        </w:rPr>
        <w:t xml:space="preserve">isibility of </w:t>
      </w:r>
      <w:r w:rsidR="00B20245" w:rsidRPr="007647B4">
        <w:rPr>
          <w:rFonts w:asciiTheme="minorHAnsi" w:hAnsiTheme="minorHAnsi" w:cstheme="minorHAnsi"/>
          <w:b/>
          <w:color w:val="000000" w:themeColor="text1"/>
          <w:sz w:val="22"/>
          <w:szCs w:val="22"/>
        </w:rPr>
        <w:t>W</w:t>
      </w:r>
      <w:r w:rsidR="0047760D" w:rsidRPr="007647B4">
        <w:rPr>
          <w:rFonts w:asciiTheme="minorHAnsi" w:hAnsiTheme="minorHAnsi" w:cstheme="minorHAnsi"/>
          <w:b/>
          <w:color w:val="000000" w:themeColor="text1"/>
          <w:sz w:val="22"/>
          <w:szCs w:val="22"/>
        </w:rPr>
        <w:t xml:space="preserve">arning </w:t>
      </w:r>
      <w:r w:rsidR="00B20245" w:rsidRPr="007647B4">
        <w:rPr>
          <w:rFonts w:asciiTheme="minorHAnsi" w:hAnsiTheme="minorHAnsi" w:cstheme="minorHAnsi"/>
          <w:b/>
          <w:color w:val="000000" w:themeColor="text1"/>
          <w:sz w:val="22"/>
          <w:szCs w:val="22"/>
        </w:rPr>
        <w:t>L</w:t>
      </w:r>
      <w:r w:rsidR="0047760D" w:rsidRPr="007647B4">
        <w:rPr>
          <w:rFonts w:asciiTheme="minorHAnsi" w:hAnsiTheme="minorHAnsi" w:cstheme="minorHAnsi"/>
          <w:b/>
          <w:color w:val="000000" w:themeColor="text1"/>
          <w:sz w:val="22"/>
          <w:szCs w:val="22"/>
        </w:rPr>
        <w:t>abels (§§ 40405, 40408)</w:t>
      </w:r>
    </w:p>
    <w:p w14:paraId="698AE53E" w14:textId="073FBD1B" w:rsidR="0047760D" w:rsidRPr="007647B4" w:rsidRDefault="0047760D" w:rsidP="003B2510">
      <w:pPr>
        <w:jc w:val="both"/>
        <w:rPr>
          <w:rFonts w:asciiTheme="minorHAnsi" w:hAnsiTheme="minorHAnsi" w:cstheme="minorHAnsi"/>
          <w:color w:val="000000" w:themeColor="text1"/>
          <w:sz w:val="22"/>
          <w:szCs w:val="22"/>
        </w:rPr>
      </w:pPr>
    </w:p>
    <w:p w14:paraId="6832B5EB" w14:textId="3E380E1F" w:rsidR="0047760D" w:rsidRPr="007647B4" w:rsidRDefault="0047760D"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The proposed regulations</w:t>
      </w:r>
      <w:r w:rsidR="009D59BB" w:rsidRPr="007647B4">
        <w:rPr>
          <w:rFonts w:asciiTheme="minorHAnsi" w:hAnsiTheme="minorHAnsi" w:cstheme="minorHAnsi"/>
          <w:color w:val="000000" w:themeColor="text1"/>
          <w:sz w:val="22"/>
          <w:szCs w:val="22"/>
        </w:rPr>
        <w:t xml:space="preserve"> (§ 40404),</w:t>
      </w:r>
      <w:r w:rsidRPr="007647B4">
        <w:rPr>
          <w:rFonts w:asciiTheme="minorHAnsi" w:hAnsiTheme="minorHAnsi" w:cstheme="minorHAnsi"/>
          <w:color w:val="000000" w:themeColor="text1"/>
          <w:sz w:val="22"/>
          <w:szCs w:val="22"/>
        </w:rPr>
        <w:t xml:space="preserve"> (§ 40405) require a primary panel label and a separate informational panel label that includes mandatory warnings (§ 40408), both with a miniscule minimum 6-point font. The size, prominence, position, and design of health warning labels influence their impact on risk perceptions</w:t>
      </w:r>
      <w:r w:rsidR="00B20245" w:rsidRPr="007647B4">
        <w:rPr>
          <w:rFonts w:asciiTheme="minorHAnsi" w:hAnsiTheme="minorHAnsi" w:cstheme="minorHAnsi"/>
          <w:color w:val="000000" w:themeColor="text1"/>
          <w:sz w:val="22"/>
          <w:szCs w:val="22"/>
        </w:rPr>
        <w:t>.</w:t>
      </w:r>
      <w:r w:rsidR="00B20245" w:rsidRPr="007647B4">
        <w:rPr>
          <w:rStyle w:val="FootnoteReference"/>
          <w:rFonts w:asciiTheme="minorHAnsi" w:hAnsiTheme="minorHAnsi" w:cstheme="minorHAnsi"/>
          <w:color w:val="000000" w:themeColor="text1"/>
          <w:sz w:val="22"/>
          <w:szCs w:val="22"/>
        </w:rPr>
        <w:footnoteReference w:id="97"/>
      </w:r>
      <w:r w:rsidR="009D59BB" w:rsidRPr="007647B4">
        <w:rPr>
          <w:rFonts w:asciiTheme="minorHAnsi" w:hAnsiTheme="minorHAnsi" w:cstheme="minorHAnsi"/>
          <w:color w:val="000000" w:themeColor="text1"/>
          <w:sz w:val="22"/>
          <w:szCs w:val="22"/>
          <w:vertAlign w:val="superscript"/>
        </w:rPr>
        <w:t>,</w:t>
      </w:r>
      <w:r w:rsidR="00B20245" w:rsidRPr="007647B4">
        <w:rPr>
          <w:rStyle w:val="FootnoteReference"/>
          <w:rFonts w:asciiTheme="minorHAnsi" w:hAnsiTheme="minorHAnsi" w:cstheme="minorHAnsi"/>
          <w:color w:val="000000" w:themeColor="text1"/>
          <w:sz w:val="22"/>
          <w:szCs w:val="22"/>
        </w:rPr>
        <w:footnoteReference w:id="98"/>
      </w:r>
      <w:r w:rsidRPr="007647B4">
        <w:rPr>
          <w:rFonts w:asciiTheme="minorHAnsi" w:hAnsiTheme="minorHAnsi" w:cstheme="minorHAnsi"/>
          <w:color w:val="000000" w:themeColor="text1"/>
          <w:sz w:val="22"/>
          <w:szCs w:val="22"/>
        </w:rPr>
        <w:t xml:space="preserve"> Tobacco health warnings that cover at least 30% and ideally 50% or more of the package’s principal display area, as required under the WHO Framework Convention on Tobacco Control (FCTC)</w:t>
      </w:r>
      <w:r w:rsidR="00B20245" w:rsidRPr="007647B4">
        <w:rPr>
          <w:rStyle w:val="FootnoteReference"/>
          <w:rFonts w:asciiTheme="minorHAnsi" w:hAnsiTheme="minorHAnsi" w:cstheme="minorHAnsi"/>
          <w:color w:val="000000" w:themeColor="text1"/>
          <w:sz w:val="22"/>
          <w:szCs w:val="22"/>
        </w:rPr>
        <w:footnoteReference w:id="99"/>
      </w:r>
      <w:r w:rsidRPr="007647B4">
        <w:rPr>
          <w:rFonts w:asciiTheme="minorHAnsi" w:hAnsiTheme="minorHAnsi" w:cstheme="minorHAnsi"/>
          <w:color w:val="000000" w:themeColor="text1"/>
          <w:sz w:val="22"/>
          <w:szCs w:val="22"/>
        </w:rPr>
        <w:t xml:space="preserve"> are associated with higher health knowledge and motivation to quit</w:t>
      </w:r>
      <w:r w:rsidR="00B20245" w:rsidRPr="007647B4">
        <w:rPr>
          <w:rFonts w:asciiTheme="minorHAnsi" w:hAnsiTheme="minorHAnsi" w:cstheme="minorHAnsi"/>
          <w:color w:val="000000" w:themeColor="text1"/>
          <w:sz w:val="22"/>
          <w:szCs w:val="22"/>
        </w:rPr>
        <w:t>.</w:t>
      </w:r>
      <w:r w:rsidR="00B20245" w:rsidRPr="007647B4">
        <w:rPr>
          <w:rStyle w:val="FootnoteReference"/>
          <w:rFonts w:asciiTheme="minorHAnsi" w:hAnsiTheme="minorHAnsi" w:cstheme="minorHAnsi"/>
          <w:color w:val="000000" w:themeColor="text1"/>
          <w:sz w:val="22"/>
          <w:szCs w:val="22"/>
        </w:rPr>
        <w:footnoteReference w:id="100"/>
      </w:r>
      <w:r w:rsidR="003A6D45" w:rsidRPr="007647B4">
        <w:rPr>
          <w:rFonts w:asciiTheme="minorHAnsi" w:hAnsiTheme="minorHAnsi" w:cstheme="minorHAnsi"/>
          <w:color w:val="000000" w:themeColor="text1"/>
          <w:sz w:val="22"/>
          <w:szCs w:val="22"/>
          <w:vertAlign w:val="superscript"/>
        </w:rPr>
        <w:t>,</w:t>
      </w:r>
      <w:r w:rsidR="00B20245" w:rsidRPr="007647B4">
        <w:rPr>
          <w:rStyle w:val="FootnoteReference"/>
          <w:rFonts w:asciiTheme="minorHAnsi" w:hAnsiTheme="minorHAnsi" w:cstheme="minorHAnsi"/>
          <w:color w:val="000000" w:themeColor="text1"/>
          <w:sz w:val="22"/>
          <w:szCs w:val="22"/>
        </w:rPr>
        <w:footnoteReference w:id="101"/>
      </w:r>
      <w:r w:rsidRPr="007647B4">
        <w:rPr>
          <w:rFonts w:asciiTheme="minorHAnsi" w:hAnsiTheme="minorHAnsi" w:cstheme="minorHAnsi"/>
          <w:color w:val="000000" w:themeColor="text1"/>
          <w:sz w:val="22"/>
          <w:szCs w:val="22"/>
        </w:rPr>
        <w:t xml:space="preserve"> Increasing label size also improves effectiveness among youth</w:t>
      </w:r>
      <w:r w:rsidR="00E57C16" w:rsidRPr="007647B4">
        <w:rPr>
          <w:rFonts w:asciiTheme="minorHAnsi" w:hAnsiTheme="minorHAnsi" w:cstheme="minorHAnsi"/>
          <w:color w:val="000000" w:themeColor="text1"/>
          <w:sz w:val="22"/>
          <w:szCs w:val="22"/>
        </w:rPr>
        <w:t>.</w:t>
      </w:r>
      <w:r w:rsidR="00E57C16" w:rsidRPr="007647B4">
        <w:rPr>
          <w:rStyle w:val="FootnoteReference"/>
          <w:rFonts w:asciiTheme="minorHAnsi" w:hAnsiTheme="minorHAnsi" w:cstheme="minorHAnsi"/>
          <w:color w:val="000000" w:themeColor="text1"/>
          <w:sz w:val="22"/>
          <w:szCs w:val="22"/>
        </w:rPr>
        <w:footnoteReference w:id="102"/>
      </w:r>
      <w:r w:rsidRPr="007647B4">
        <w:rPr>
          <w:rFonts w:asciiTheme="minorHAnsi" w:hAnsiTheme="minorHAnsi" w:cstheme="minorHAnsi"/>
          <w:color w:val="000000" w:themeColor="text1"/>
          <w:sz w:val="22"/>
          <w:szCs w:val="22"/>
        </w:rPr>
        <w:t xml:space="preserve"> Some countries’ tobacco warnings occupy up to 90% of the package</w:t>
      </w:r>
      <w:r w:rsidR="00B75FAB" w:rsidRPr="007647B4">
        <w:rPr>
          <w:rFonts w:asciiTheme="minorHAnsi" w:hAnsiTheme="minorHAnsi" w:cstheme="minorHAnsi"/>
          <w:color w:val="000000" w:themeColor="text1"/>
          <w:sz w:val="22"/>
          <w:szCs w:val="22"/>
        </w:rPr>
        <w:t>,</w:t>
      </w:r>
      <w:r w:rsidR="00E57C16" w:rsidRPr="007647B4">
        <w:rPr>
          <w:rStyle w:val="FootnoteReference"/>
          <w:rFonts w:asciiTheme="minorHAnsi" w:hAnsiTheme="minorHAnsi" w:cstheme="minorHAnsi"/>
          <w:color w:val="000000" w:themeColor="text1"/>
          <w:sz w:val="22"/>
          <w:szCs w:val="22"/>
        </w:rPr>
        <w:footnoteReference w:id="103"/>
      </w:r>
      <w:r w:rsidRPr="007647B4">
        <w:rPr>
          <w:rFonts w:asciiTheme="minorHAnsi" w:hAnsiTheme="minorHAnsi" w:cstheme="minorHAnsi"/>
          <w:color w:val="000000" w:themeColor="text1"/>
          <w:sz w:val="22"/>
          <w:szCs w:val="22"/>
        </w:rPr>
        <w:t xml:space="preserve"> and the tobacco industry has intensely opposed larger and more effective warnings</w:t>
      </w:r>
      <w:r w:rsidR="00E57C16" w:rsidRPr="007647B4">
        <w:rPr>
          <w:rFonts w:asciiTheme="minorHAnsi" w:hAnsiTheme="minorHAnsi" w:cstheme="minorHAnsi"/>
          <w:color w:val="000000" w:themeColor="text1"/>
          <w:sz w:val="22"/>
          <w:szCs w:val="22"/>
        </w:rPr>
        <w:t>.</w:t>
      </w:r>
      <w:r w:rsidR="00E57C16" w:rsidRPr="007647B4">
        <w:rPr>
          <w:rStyle w:val="FootnoteReference"/>
          <w:rFonts w:asciiTheme="minorHAnsi" w:hAnsiTheme="minorHAnsi" w:cstheme="minorHAnsi"/>
          <w:color w:val="000000" w:themeColor="text1"/>
          <w:sz w:val="22"/>
          <w:szCs w:val="22"/>
        </w:rPr>
        <w:footnoteReference w:id="104"/>
      </w:r>
      <w:r w:rsidRPr="007647B4">
        <w:rPr>
          <w:rFonts w:asciiTheme="minorHAnsi" w:hAnsiTheme="minorHAnsi" w:cstheme="minorHAnsi"/>
          <w:color w:val="000000" w:themeColor="text1"/>
          <w:sz w:val="22"/>
          <w:szCs w:val="22"/>
        </w:rPr>
        <w:t xml:space="preserve"> The proposed regulations’ standard is vulnerable to industry manipulation. </w:t>
      </w:r>
      <w:r w:rsidRPr="007647B4">
        <w:rPr>
          <w:rFonts w:asciiTheme="minorHAnsi" w:hAnsiTheme="minorHAnsi" w:cstheme="minorHAnsi"/>
          <w:b/>
          <w:color w:val="000000" w:themeColor="text1"/>
          <w:sz w:val="22"/>
          <w:szCs w:val="22"/>
        </w:rPr>
        <w:t>Requiring warnings on the primary panel and covering a minimum 30% (ideally 50%) of the principal display area would eliminate ambiguity and likely produce gains in health knowledge and warning effectiveness.</w:t>
      </w:r>
      <w:r w:rsidRPr="007647B4">
        <w:rPr>
          <w:rFonts w:asciiTheme="minorHAnsi" w:hAnsiTheme="minorHAnsi" w:cstheme="minorHAnsi"/>
          <w:color w:val="000000" w:themeColor="text1"/>
          <w:sz w:val="22"/>
          <w:szCs w:val="22"/>
        </w:rPr>
        <w:t xml:space="preserve"> </w:t>
      </w:r>
    </w:p>
    <w:p w14:paraId="3B5E9B00" w14:textId="77777777" w:rsidR="009D59BB" w:rsidRPr="007647B4" w:rsidRDefault="009D59BB" w:rsidP="003B2510">
      <w:pPr>
        <w:jc w:val="both"/>
        <w:rPr>
          <w:rFonts w:asciiTheme="minorHAnsi" w:hAnsiTheme="minorHAnsi" w:cstheme="minorHAnsi"/>
          <w:color w:val="000000" w:themeColor="text1"/>
          <w:sz w:val="22"/>
          <w:szCs w:val="22"/>
        </w:rPr>
      </w:pPr>
    </w:p>
    <w:p w14:paraId="0133FF4C" w14:textId="2887006C" w:rsidR="009D59BB" w:rsidRPr="007647B4" w:rsidRDefault="009D59BB"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The proposed minimum 6-point font is consistent with Oregon,</w:t>
      </w:r>
      <w:r w:rsidRPr="007647B4">
        <w:rPr>
          <w:rStyle w:val="FootnoteReference"/>
          <w:rFonts w:asciiTheme="minorHAnsi" w:hAnsiTheme="minorHAnsi" w:cstheme="minorHAnsi"/>
          <w:color w:val="000000" w:themeColor="text1"/>
          <w:sz w:val="22"/>
          <w:szCs w:val="22"/>
        </w:rPr>
        <w:footnoteReference w:id="105"/>
      </w:r>
      <w:r w:rsidR="00DA6B6F"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but considerably smaller than Nevada,</w:t>
      </w:r>
      <w:r w:rsidRPr="007647B4">
        <w:rPr>
          <w:rStyle w:val="FootnoteReference"/>
          <w:rFonts w:asciiTheme="minorHAnsi" w:hAnsiTheme="minorHAnsi" w:cstheme="minorHAnsi"/>
          <w:color w:val="000000" w:themeColor="text1"/>
          <w:sz w:val="22"/>
          <w:szCs w:val="22"/>
        </w:rPr>
        <w:footnoteReference w:id="106"/>
      </w:r>
      <w:r w:rsidR="00DA6B6F"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which requires front and rear labels with minimum 12-point font. A 6-point font standard is also smaller than the approximately 10-point font a 2017 cannabis industry white paper suggests.</w:t>
      </w:r>
      <w:r w:rsidRPr="007647B4">
        <w:rPr>
          <w:rStyle w:val="FootnoteReference"/>
          <w:rFonts w:asciiTheme="minorHAnsi" w:hAnsiTheme="minorHAnsi" w:cstheme="minorHAnsi"/>
          <w:color w:val="000000" w:themeColor="text1"/>
          <w:sz w:val="22"/>
          <w:szCs w:val="22"/>
        </w:rPr>
        <w:footnoteReference w:id="107"/>
      </w:r>
      <w:r w:rsidRPr="007647B4">
        <w:rPr>
          <w:rFonts w:asciiTheme="minorHAnsi" w:hAnsiTheme="minorHAnsi" w:cstheme="minorHAnsi"/>
          <w:b/>
          <w:color w:val="000000" w:themeColor="text1"/>
          <w:sz w:val="22"/>
          <w:szCs w:val="22"/>
        </w:rPr>
        <w:t xml:space="preserve"> Requiring minimum 12-point font would be consistent with FDA’s requirements for most tobacco warnings</w:t>
      </w:r>
      <w:r w:rsidRPr="007647B4">
        <w:rPr>
          <w:rStyle w:val="FootnoteReference"/>
          <w:rFonts w:asciiTheme="minorHAnsi" w:hAnsiTheme="minorHAnsi" w:cstheme="minorHAnsi"/>
          <w:b/>
          <w:color w:val="000000" w:themeColor="text1"/>
          <w:sz w:val="22"/>
          <w:szCs w:val="22"/>
        </w:rPr>
        <w:footnoteReference w:id="108"/>
      </w:r>
      <w:r w:rsidRPr="007647B4">
        <w:rPr>
          <w:rFonts w:asciiTheme="minorHAnsi" w:hAnsiTheme="minorHAnsi" w:cstheme="minorHAnsi"/>
          <w:b/>
          <w:color w:val="000000" w:themeColor="text1"/>
          <w:sz w:val="22"/>
          <w:szCs w:val="22"/>
        </w:rPr>
        <w:t xml:space="preserve"> and ensure cannabis warnings are readable and salient, </w:t>
      </w:r>
      <w:r w:rsidRPr="007647B4">
        <w:rPr>
          <w:rFonts w:asciiTheme="minorHAnsi" w:hAnsiTheme="minorHAnsi" w:cstheme="minorHAnsi"/>
          <w:color w:val="000000" w:themeColor="text1"/>
          <w:sz w:val="22"/>
          <w:szCs w:val="22"/>
        </w:rPr>
        <w:t>paralleling the FCTC’s requirement that tobacco health warnings to be “large, clear, visible and legible.”</w:t>
      </w:r>
      <w:r w:rsidRPr="007647B4">
        <w:rPr>
          <w:rStyle w:val="FootnoteReference"/>
          <w:rFonts w:asciiTheme="minorHAnsi" w:hAnsiTheme="minorHAnsi" w:cstheme="minorHAnsi"/>
          <w:color w:val="000000" w:themeColor="text1"/>
          <w:sz w:val="22"/>
          <w:szCs w:val="22"/>
        </w:rPr>
        <w:footnoteReference w:id="109"/>
      </w:r>
      <w:r w:rsidRPr="007647B4">
        <w:rPr>
          <w:rFonts w:asciiTheme="minorHAnsi" w:hAnsiTheme="minorHAnsi" w:cstheme="minorHAnsi"/>
          <w:color w:val="000000" w:themeColor="text1"/>
          <w:sz w:val="22"/>
          <w:szCs w:val="22"/>
        </w:rPr>
        <w:t xml:space="preserve"> A larger warning label would also permit a larger, more prominent font size.</w:t>
      </w:r>
    </w:p>
    <w:p w14:paraId="2D85CDC6" w14:textId="77777777" w:rsidR="009D59BB" w:rsidRPr="007647B4" w:rsidRDefault="009D59BB" w:rsidP="003B2510">
      <w:pPr>
        <w:jc w:val="both"/>
        <w:rPr>
          <w:rFonts w:asciiTheme="minorHAnsi" w:hAnsiTheme="minorHAnsi" w:cstheme="minorHAnsi"/>
          <w:color w:val="000000" w:themeColor="text1"/>
          <w:sz w:val="22"/>
          <w:szCs w:val="22"/>
        </w:rPr>
      </w:pPr>
    </w:p>
    <w:p w14:paraId="57E0FDAE" w14:textId="7DBC7D22" w:rsidR="0047760D" w:rsidRPr="007647B4" w:rsidRDefault="0047760D"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A 6-point font is challenging to read, as illustrated in the</w:t>
      </w:r>
      <w:r w:rsidR="00E57C16" w:rsidRPr="007647B4">
        <w:rPr>
          <w:rFonts w:asciiTheme="minorHAnsi" w:hAnsiTheme="minorHAnsi" w:cstheme="minorHAnsi"/>
          <w:color w:val="000000" w:themeColor="text1"/>
          <w:sz w:val="22"/>
          <w:szCs w:val="22"/>
        </w:rPr>
        <w:t xml:space="preserve"> following</w:t>
      </w:r>
      <w:r w:rsidRPr="007647B4">
        <w:rPr>
          <w:rFonts w:asciiTheme="minorHAnsi" w:hAnsiTheme="minorHAnsi" w:cstheme="minorHAnsi"/>
          <w:color w:val="000000" w:themeColor="text1"/>
          <w:sz w:val="22"/>
          <w:szCs w:val="22"/>
        </w:rPr>
        <w:t xml:space="preserve"> comparison</w:t>
      </w:r>
      <w:r w:rsidR="00E57C16" w:rsidRPr="007647B4">
        <w:rPr>
          <w:rFonts w:asciiTheme="minorHAnsi" w:hAnsiTheme="minorHAnsi" w:cstheme="minorHAnsi"/>
          <w:color w:val="000000" w:themeColor="text1"/>
          <w:sz w:val="22"/>
          <w:szCs w:val="22"/>
        </w:rPr>
        <w:t>:</w:t>
      </w:r>
    </w:p>
    <w:p w14:paraId="0634D1E7" w14:textId="2ABD3979" w:rsidR="0047760D" w:rsidRPr="007647B4" w:rsidRDefault="00DC1245" w:rsidP="003B2510">
      <w:pPr>
        <w:jc w:val="both"/>
        <w:rPr>
          <w:rFonts w:asciiTheme="minorHAnsi" w:hAnsiTheme="minorHAnsi" w:cstheme="minorHAnsi"/>
          <w:color w:val="000000" w:themeColor="text1"/>
          <w:sz w:val="22"/>
          <w:szCs w:val="22"/>
        </w:rPr>
      </w:pPr>
      <w:r w:rsidRPr="007647B4">
        <w:rPr>
          <w:rFonts w:asciiTheme="minorHAnsi" w:hAnsiTheme="minorHAnsi" w:cstheme="minorHAnsi"/>
          <w:noProof/>
          <w:color w:val="000000" w:themeColor="text1"/>
          <w:sz w:val="22"/>
          <w:szCs w:val="22"/>
        </w:rPr>
        <mc:AlternateContent>
          <mc:Choice Requires="wps">
            <w:drawing>
              <wp:anchor distT="0" distB="0" distL="114300" distR="114300" simplePos="0" relativeHeight="251659264" behindDoc="0" locked="0" layoutInCell="1" allowOverlap="1" wp14:anchorId="0249DE78" wp14:editId="2EA0D464">
                <wp:simplePos x="0" y="0"/>
                <wp:positionH relativeFrom="column">
                  <wp:posOffset>971550</wp:posOffset>
                </wp:positionH>
                <wp:positionV relativeFrom="paragraph">
                  <wp:posOffset>17780</wp:posOffset>
                </wp:positionV>
                <wp:extent cx="3571875" cy="971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571875" cy="971550"/>
                        </a:xfrm>
                        <a:prstGeom prst="rect">
                          <a:avLst/>
                        </a:prstGeom>
                        <a:solidFill>
                          <a:schemeClr val="lt1"/>
                        </a:solidFill>
                        <a:ln w="6350">
                          <a:solidFill>
                            <a:prstClr val="black"/>
                          </a:solidFill>
                        </a:ln>
                      </wps:spPr>
                      <wps:txbx>
                        <w:txbxContent>
                          <w:p w14:paraId="64D0666A" w14:textId="77777777" w:rsidR="007647B4" w:rsidRDefault="007647B4" w:rsidP="0047760D">
                            <w:pPr>
                              <w:jc w:val="center"/>
                            </w:pPr>
                            <w:r w:rsidRPr="0047760D">
                              <w:rPr>
                                <w:b/>
                              </w:rPr>
                              <w:t>Manufactured at:</w:t>
                            </w:r>
                            <w:r w:rsidRPr="0047760D">
                              <w:t xml:space="preserve"> Joe’s Kitchen Cert.#: </w:t>
                            </w:r>
                          </w:p>
                          <w:p w14:paraId="38CD12F1" w14:textId="77777777" w:rsidR="007647B4" w:rsidRDefault="007647B4" w:rsidP="0047760D">
                            <w:r>
                              <w:tab/>
                            </w:r>
                            <w:r>
                              <w:tab/>
                            </w:r>
                            <w:r w:rsidRPr="0047760D">
                              <w:t xml:space="preserve">321654987101 0401 </w:t>
                            </w:r>
                          </w:p>
                          <w:p w14:paraId="67FB9CF5" w14:textId="72008835" w:rsidR="007647B4" w:rsidRDefault="007647B4" w:rsidP="0047760D">
                            <w:r>
                              <w:tab/>
                            </w:r>
                            <w:r w:rsidRPr="0047760D">
                              <w:t>123 Main Street, Las Vegas, N</w:t>
                            </w:r>
                            <w:r>
                              <w:t xml:space="preserve">V </w:t>
                            </w:r>
                            <w:r w:rsidRPr="0047760D">
                              <w:t xml:space="preserve">on 2/1/14 </w:t>
                            </w:r>
                          </w:p>
                          <w:p w14:paraId="6D1A764C" w14:textId="77777777" w:rsidR="007647B4" w:rsidRDefault="007647B4" w:rsidP="0047760D">
                            <w:pPr>
                              <w:jc w:val="center"/>
                            </w:pPr>
                          </w:p>
                          <w:p w14:paraId="3B58030B" w14:textId="19765EAB" w:rsidR="007647B4" w:rsidRPr="0047760D" w:rsidRDefault="007647B4" w:rsidP="0047760D">
                            <w:pPr>
                              <w:jc w:val="center"/>
                            </w:pPr>
                            <w:r w:rsidRPr="0047760D">
                              <w:t>Lot#: 1234 Batch #5463</w:t>
                            </w:r>
                          </w:p>
                          <w:p w14:paraId="4F46D1B8" w14:textId="77777777" w:rsidR="007647B4" w:rsidRDefault="007647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9DE78" id="_x0000_t202" coordsize="21600,21600" o:spt="202" path="m,l,21600r21600,l21600,xe">
                <v:stroke joinstyle="miter"/>
                <v:path gradientshapeok="t" o:connecttype="rect"/>
              </v:shapetype>
              <v:shape id="Text Box 1" o:spid="_x0000_s1026" type="#_x0000_t202" style="position:absolute;left:0;text-align:left;margin-left:76.5pt;margin-top:1.4pt;width:281.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" fillcolor="white [3201]" strokeweight=".5pt">
                <v:textbox>
                  <w:txbxContent>
                    <w:p w14:paraId="64D0666A" w14:textId="77777777" w:rsidR="007647B4" w:rsidRDefault="007647B4" w:rsidP="0047760D">
                      <w:pPr>
                        <w:jc w:val="center"/>
                      </w:pPr>
                      <w:r w:rsidRPr="0047760D">
                        <w:rPr>
                          <w:b/>
                        </w:rPr>
                        <w:t>Manufactured at:</w:t>
                      </w:r>
                      <w:r w:rsidRPr="0047760D">
                        <w:t xml:space="preserve"> Joe’s Kitchen Cert.#: </w:t>
                      </w:r>
                    </w:p>
                    <w:p w14:paraId="38CD12F1" w14:textId="77777777" w:rsidR="007647B4" w:rsidRDefault="007647B4" w:rsidP="0047760D">
                      <w:r>
                        <w:tab/>
                      </w:r>
                      <w:r>
                        <w:tab/>
                      </w:r>
                      <w:r w:rsidRPr="0047760D">
                        <w:t xml:space="preserve">321654987101 0401 </w:t>
                      </w:r>
                    </w:p>
                    <w:p w14:paraId="67FB9CF5" w14:textId="72008835" w:rsidR="007647B4" w:rsidRDefault="007647B4" w:rsidP="0047760D">
                      <w:r>
                        <w:tab/>
                      </w:r>
                      <w:r w:rsidRPr="0047760D">
                        <w:t>123 Main Street, Las Vegas, N</w:t>
                      </w:r>
                      <w:r>
                        <w:t xml:space="preserve">V </w:t>
                      </w:r>
                      <w:r w:rsidRPr="0047760D">
                        <w:t xml:space="preserve">on 2/1/14 </w:t>
                      </w:r>
                    </w:p>
                    <w:p w14:paraId="6D1A764C" w14:textId="77777777" w:rsidR="007647B4" w:rsidRDefault="007647B4" w:rsidP="0047760D">
                      <w:pPr>
                        <w:jc w:val="center"/>
                      </w:pPr>
                    </w:p>
                    <w:p w14:paraId="3B58030B" w14:textId="19765EAB" w:rsidR="007647B4" w:rsidRPr="0047760D" w:rsidRDefault="007647B4" w:rsidP="0047760D">
                      <w:pPr>
                        <w:jc w:val="center"/>
                      </w:pPr>
                      <w:r w:rsidRPr="0047760D">
                        <w:t>Lot#: 1234 Batch #5463</w:t>
                      </w:r>
                    </w:p>
                    <w:p w14:paraId="4F46D1B8" w14:textId="77777777" w:rsidR="007647B4" w:rsidRDefault="007647B4"/>
                  </w:txbxContent>
                </v:textbox>
              </v:shape>
            </w:pict>
          </mc:Fallback>
        </mc:AlternateContent>
      </w:r>
    </w:p>
    <w:p w14:paraId="1BED6C9D" w14:textId="2DFBAA33" w:rsidR="0047760D" w:rsidRPr="007647B4" w:rsidRDefault="0047760D" w:rsidP="003B2510">
      <w:pPr>
        <w:jc w:val="both"/>
        <w:rPr>
          <w:rFonts w:asciiTheme="minorHAnsi" w:hAnsiTheme="minorHAnsi" w:cstheme="minorHAnsi"/>
          <w:color w:val="000000" w:themeColor="text1"/>
          <w:sz w:val="22"/>
          <w:szCs w:val="22"/>
        </w:rPr>
      </w:pPr>
    </w:p>
    <w:p w14:paraId="24C8B1B5" w14:textId="77777777" w:rsidR="0047760D" w:rsidRPr="007647B4" w:rsidRDefault="0047760D" w:rsidP="003B2510">
      <w:pPr>
        <w:jc w:val="both"/>
        <w:rPr>
          <w:rFonts w:asciiTheme="minorHAnsi" w:hAnsiTheme="minorHAnsi" w:cstheme="minorHAnsi"/>
          <w:color w:val="000000" w:themeColor="text1"/>
          <w:sz w:val="22"/>
          <w:szCs w:val="22"/>
        </w:rPr>
      </w:pPr>
    </w:p>
    <w:p w14:paraId="09B67881" w14:textId="7C2EFB5B" w:rsidR="0047760D" w:rsidRPr="007647B4" w:rsidRDefault="0047760D" w:rsidP="003B2510">
      <w:pPr>
        <w:jc w:val="both"/>
        <w:rPr>
          <w:rFonts w:asciiTheme="minorHAnsi" w:hAnsiTheme="minorHAnsi" w:cstheme="minorHAnsi"/>
          <w:color w:val="000000" w:themeColor="text1"/>
          <w:sz w:val="22"/>
          <w:szCs w:val="22"/>
        </w:rPr>
      </w:pPr>
    </w:p>
    <w:p w14:paraId="798C4D8A" w14:textId="77777777" w:rsidR="00316817" w:rsidRPr="007647B4" w:rsidRDefault="00316817" w:rsidP="003B2510">
      <w:pPr>
        <w:jc w:val="both"/>
        <w:rPr>
          <w:rFonts w:asciiTheme="minorHAnsi" w:hAnsiTheme="minorHAnsi" w:cstheme="minorHAnsi"/>
          <w:b/>
          <w:color w:val="000000" w:themeColor="text1"/>
          <w:sz w:val="22"/>
          <w:szCs w:val="22"/>
        </w:rPr>
      </w:pPr>
    </w:p>
    <w:p w14:paraId="71CFF240" w14:textId="6F06F8CE" w:rsidR="00316817" w:rsidRPr="007647B4" w:rsidRDefault="00316817" w:rsidP="003B2510">
      <w:pPr>
        <w:jc w:val="both"/>
        <w:rPr>
          <w:rFonts w:asciiTheme="minorHAnsi" w:hAnsiTheme="minorHAnsi" w:cstheme="minorHAnsi"/>
          <w:color w:val="000000" w:themeColor="text1"/>
          <w:sz w:val="22"/>
          <w:szCs w:val="22"/>
        </w:rPr>
      </w:pPr>
    </w:p>
    <w:p w14:paraId="59A3D2FC" w14:textId="1E1F6C5C" w:rsidR="00316817" w:rsidRPr="007647B4" w:rsidRDefault="00316817" w:rsidP="003B2510">
      <w:pPr>
        <w:jc w:val="both"/>
        <w:rPr>
          <w:rFonts w:asciiTheme="minorHAnsi" w:hAnsiTheme="minorHAnsi" w:cstheme="minorHAnsi"/>
          <w:color w:val="000000" w:themeColor="text1"/>
          <w:sz w:val="22"/>
          <w:szCs w:val="22"/>
        </w:rPr>
      </w:pPr>
    </w:p>
    <w:p w14:paraId="0762C22B" w14:textId="56E7C55D" w:rsidR="00316817" w:rsidRPr="007647B4" w:rsidRDefault="00316817" w:rsidP="003B2510">
      <w:pPr>
        <w:jc w:val="both"/>
        <w:rPr>
          <w:rFonts w:asciiTheme="minorHAnsi" w:hAnsiTheme="minorHAnsi" w:cstheme="minorHAnsi"/>
          <w:b/>
          <w:color w:val="000000" w:themeColor="text1"/>
          <w:sz w:val="22"/>
          <w:szCs w:val="22"/>
        </w:rPr>
      </w:pPr>
    </w:p>
    <w:p w14:paraId="380D30FE" w14:textId="77777777" w:rsidR="00316817" w:rsidRPr="007647B4" w:rsidRDefault="00316817" w:rsidP="003B2510">
      <w:pPr>
        <w:jc w:val="both"/>
        <w:rPr>
          <w:rFonts w:asciiTheme="minorHAnsi" w:hAnsiTheme="minorHAnsi" w:cstheme="minorHAnsi"/>
          <w:color w:val="000000" w:themeColor="text1"/>
          <w:sz w:val="22"/>
          <w:szCs w:val="22"/>
        </w:rPr>
      </w:pPr>
    </w:p>
    <w:p w14:paraId="7A2FDF59" w14:textId="51DC6CA1" w:rsidR="00316817" w:rsidRPr="007647B4" w:rsidRDefault="00316817" w:rsidP="003B2510">
      <w:pPr>
        <w:jc w:val="both"/>
        <w:rPr>
          <w:rFonts w:asciiTheme="minorHAnsi" w:hAnsiTheme="minorHAnsi" w:cstheme="minorHAnsi"/>
          <w:color w:val="000000" w:themeColor="text1"/>
          <w:sz w:val="22"/>
          <w:szCs w:val="22"/>
        </w:rPr>
      </w:pPr>
    </w:p>
    <w:p w14:paraId="057BC56A" w14:textId="78511C6A" w:rsidR="00316817" w:rsidRPr="007647B4" w:rsidRDefault="00316817" w:rsidP="003B2510">
      <w:pPr>
        <w:jc w:val="both"/>
        <w:rPr>
          <w:rFonts w:asciiTheme="minorHAnsi" w:hAnsiTheme="minorHAnsi" w:cstheme="minorHAnsi"/>
          <w:color w:val="000000" w:themeColor="text1"/>
          <w:sz w:val="22"/>
          <w:szCs w:val="22"/>
        </w:rPr>
      </w:pPr>
    </w:p>
    <w:p w14:paraId="5ABC1574" w14:textId="5A6C5E2E" w:rsidR="00316817" w:rsidRPr="007647B4" w:rsidRDefault="00316817" w:rsidP="003B2510">
      <w:pPr>
        <w:jc w:val="both"/>
        <w:rPr>
          <w:rFonts w:asciiTheme="minorHAnsi" w:hAnsiTheme="minorHAnsi" w:cstheme="minorHAnsi"/>
          <w:color w:val="000000" w:themeColor="text1"/>
          <w:sz w:val="22"/>
          <w:szCs w:val="22"/>
        </w:rPr>
      </w:pPr>
    </w:p>
    <w:p w14:paraId="36E691CE" w14:textId="2C3D1AAC" w:rsidR="00316817" w:rsidRPr="007647B4" w:rsidRDefault="00316817" w:rsidP="003B2510">
      <w:pPr>
        <w:jc w:val="both"/>
        <w:rPr>
          <w:rFonts w:asciiTheme="minorHAnsi" w:hAnsiTheme="minorHAnsi" w:cstheme="minorHAnsi"/>
          <w:color w:val="000000" w:themeColor="text1"/>
          <w:sz w:val="22"/>
          <w:szCs w:val="22"/>
        </w:rPr>
      </w:pPr>
    </w:p>
    <w:p w14:paraId="4D83C8DC" w14:textId="368CC5DC" w:rsidR="00CB1EF0" w:rsidRPr="007647B4" w:rsidRDefault="003A241C" w:rsidP="003B2510">
      <w:pPr>
        <w:jc w:val="both"/>
        <w:rPr>
          <w:rFonts w:asciiTheme="minorHAnsi" w:hAnsiTheme="minorHAnsi" w:cstheme="minorHAnsi"/>
          <w:color w:val="000000" w:themeColor="text1"/>
          <w:sz w:val="22"/>
          <w:szCs w:val="22"/>
        </w:rPr>
      </w:pPr>
      <w:r w:rsidRPr="007647B4">
        <w:rPr>
          <w:rFonts w:asciiTheme="minorHAnsi" w:hAnsiTheme="minorHAnsi" w:cstheme="minorHAnsi"/>
          <w:noProof/>
          <w:color w:val="000000" w:themeColor="text1"/>
          <w:sz w:val="22"/>
          <w:szCs w:val="22"/>
        </w:rPr>
        <mc:AlternateContent>
          <mc:Choice Requires="wps">
            <w:drawing>
              <wp:anchor distT="0" distB="0" distL="114300" distR="114300" simplePos="0" relativeHeight="251660288" behindDoc="0" locked="0" layoutInCell="1" allowOverlap="1" wp14:anchorId="7AB41A68" wp14:editId="037B345D">
                <wp:simplePos x="0" y="0"/>
                <wp:positionH relativeFrom="column">
                  <wp:posOffset>891540</wp:posOffset>
                </wp:positionH>
                <wp:positionV relativeFrom="paragraph">
                  <wp:posOffset>-751027</wp:posOffset>
                </wp:positionV>
                <wp:extent cx="3543300" cy="1691640"/>
                <wp:effectExtent l="0" t="0" r="12700" b="10160"/>
                <wp:wrapNone/>
                <wp:docPr id="2" name="Text Box 2"/>
                <wp:cNvGraphicFramePr/>
                <a:graphic xmlns:a="http://schemas.openxmlformats.org/drawingml/2006/main">
                  <a:graphicData uri="http://schemas.microsoft.com/office/word/2010/wordprocessingShape">
                    <wps:wsp>
                      <wps:cNvSpPr txBox="1"/>
                      <wps:spPr>
                        <a:xfrm>
                          <a:off x="0" y="0"/>
                          <a:ext cx="3543300" cy="1691640"/>
                        </a:xfrm>
                        <a:prstGeom prst="rect">
                          <a:avLst/>
                        </a:prstGeom>
                        <a:solidFill>
                          <a:schemeClr val="lt1"/>
                        </a:solidFill>
                        <a:ln w="6350">
                          <a:solidFill>
                            <a:prstClr val="black"/>
                          </a:solidFill>
                        </a:ln>
                      </wps:spPr>
                      <wps:txbx>
                        <w:txbxContent>
                          <w:p w14:paraId="4305D4A8" w14:textId="135679A9" w:rsidR="007647B4" w:rsidRDefault="007647B4" w:rsidP="0047760D">
                            <w:r>
                              <w:tab/>
                            </w:r>
                            <w:r w:rsidRPr="0047760D">
                              <w:rPr>
                                <w:b/>
                              </w:rPr>
                              <w:t>INGREDIENTS:</w:t>
                            </w:r>
                            <w:r w:rsidRPr="0047760D">
                              <w:t xml:space="preserve"> Flour, Butter, Canola Oil, </w:t>
                            </w:r>
                            <w:r>
                              <w:tab/>
                            </w:r>
                            <w:r w:rsidRPr="0047760D">
                              <w:t xml:space="preserve">Sugar, Chocolate, Marijuana, Strawberries </w:t>
                            </w:r>
                          </w:p>
                          <w:p w14:paraId="778610D9" w14:textId="77777777" w:rsidR="007647B4" w:rsidRDefault="007647B4" w:rsidP="0047760D"/>
                          <w:p w14:paraId="7C5FC37F" w14:textId="00DBD78D" w:rsidR="007647B4" w:rsidRDefault="007647B4" w:rsidP="0047760D">
                            <w:r>
                              <w:rPr>
                                <w:b/>
                              </w:rPr>
                              <w:tab/>
                            </w:r>
                            <w:r w:rsidRPr="0047760D">
                              <w:rPr>
                                <w:b/>
                              </w:rPr>
                              <w:t>CONTAINS ALLERGENS:</w:t>
                            </w:r>
                            <w:r w:rsidRPr="0047760D">
                              <w:t xml:space="preserve"> Milk, Wheat </w:t>
                            </w:r>
                          </w:p>
                          <w:p w14:paraId="5EAAFE6C" w14:textId="77777777" w:rsidR="007647B4" w:rsidRPr="0047760D" w:rsidRDefault="007647B4" w:rsidP="0047760D">
                            <w:pPr>
                              <w:rPr>
                                <w:b/>
                              </w:rPr>
                            </w:pPr>
                          </w:p>
                          <w:p w14:paraId="5CBFB3BD" w14:textId="77777777" w:rsidR="007647B4" w:rsidRDefault="007647B4" w:rsidP="0047760D">
                            <w:r w:rsidRPr="0047760D">
                              <w:rPr>
                                <w:b/>
                              </w:rPr>
                              <w:t>Contains marijuana extract processed with butane.</w:t>
                            </w:r>
                            <w:r w:rsidRPr="0047760D">
                              <w:t xml:space="preserve"> </w:t>
                            </w:r>
                          </w:p>
                          <w:p w14:paraId="7C5306A7" w14:textId="77777777" w:rsidR="007647B4" w:rsidRDefault="007647B4" w:rsidP="0047760D"/>
                          <w:p w14:paraId="1E8D7C3A" w14:textId="415F33CD" w:rsidR="007647B4" w:rsidRPr="0047760D" w:rsidRDefault="007647B4" w:rsidP="0047760D">
                            <w:r w:rsidRPr="0047760D">
                              <w:rPr>
                                <w:b/>
                              </w:rPr>
                              <w:t>WARNING:</w:t>
                            </w:r>
                            <w:r w:rsidRPr="0047760D">
                              <w:t xml:space="preserve"> This product may have intoxicating effects and may be habit forming.</w:t>
                            </w:r>
                          </w:p>
                          <w:p w14:paraId="5465C000" w14:textId="77777777" w:rsidR="007647B4" w:rsidRDefault="007647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41A68" id="Text Box 2" o:spid="_x0000_s1027" type="#_x0000_t202" style="position:absolute;left:0;text-align:left;margin-left:70.2pt;margin-top:-59.15pt;width:279pt;height:1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" fillcolor="white [3201]" strokeweight=".5pt">
                <v:textbox>
                  <w:txbxContent>
                    <w:p w14:paraId="4305D4A8" w14:textId="135679A9" w:rsidR="007647B4" w:rsidRDefault="007647B4" w:rsidP="0047760D">
                      <w:r>
                        <w:tab/>
                      </w:r>
                      <w:r w:rsidRPr="0047760D">
                        <w:rPr>
                          <w:b/>
                        </w:rPr>
                        <w:t>INGREDIENTS:</w:t>
                      </w:r>
                      <w:r w:rsidRPr="0047760D">
                        <w:t xml:space="preserve"> Flour, Butter, Canola Oil, </w:t>
                      </w:r>
                      <w:r>
                        <w:tab/>
                      </w:r>
                      <w:r w:rsidRPr="0047760D">
                        <w:t xml:space="preserve">Sugar, Chocolate, Marijuana, Strawberries </w:t>
                      </w:r>
                    </w:p>
                    <w:p w14:paraId="778610D9" w14:textId="77777777" w:rsidR="007647B4" w:rsidRDefault="007647B4" w:rsidP="0047760D"/>
                    <w:p w14:paraId="7C5FC37F" w14:textId="00DBD78D" w:rsidR="007647B4" w:rsidRDefault="007647B4" w:rsidP="0047760D">
                      <w:r>
                        <w:rPr>
                          <w:b/>
                        </w:rPr>
                        <w:tab/>
                      </w:r>
                      <w:r w:rsidRPr="0047760D">
                        <w:rPr>
                          <w:b/>
                        </w:rPr>
                        <w:t>CONTAINS ALLERGENS:</w:t>
                      </w:r>
                      <w:r w:rsidRPr="0047760D">
                        <w:t xml:space="preserve"> Milk, Wheat </w:t>
                      </w:r>
                    </w:p>
                    <w:p w14:paraId="5EAAFE6C" w14:textId="77777777" w:rsidR="007647B4" w:rsidRPr="0047760D" w:rsidRDefault="007647B4" w:rsidP="0047760D">
                      <w:pPr>
                        <w:rPr>
                          <w:b/>
                        </w:rPr>
                      </w:pPr>
                    </w:p>
                    <w:p w14:paraId="5CBFB3BD" w14:textId="77777777" w:rsidR="007647B4" w:rsidRDefault="007647B4" w:rsidP="0047760D">
                      <w:r w:rsidRPr="0047760D">
                        <w:rPr>
                          <w:b/>
                        </w:rPr>
                        <w:t>Contains marijuana extract processed with butane.</w:t>
                      </w:r>
                      <w:r w:rsidRPr="0047760D">
                        <w:t xml:space="preserve"> </w:t>
                      </w:r>
                    </w:p>
                    <w:p w14:paraId="7C5306A7" w14:textId="77777777" w:rsidR="007647B4" w:rsidRDefault="007647B4" w:rsidP="0047760D"/>
                    <w:p w14:paraId="1E8D7C3A" w14:textId="415F33CD" w:rsidR="007647B4" w:rsidRPr="0047760D" w:rsidRDefault="007647B4" w:rsidP="0047760D">
                      <w:r w:rsidRPr="0047760D">
                        <w:rPr>
                          <w:b/>
                        </w:rPr>
                        <w:t>WARNING:</w:t>
                      </w:r>
                      <w:r w:rsidRPr="0047760D">
                        <w:t xml:space="preserve"> This product may have intoxicating effects and may be habit forming.</w:t>
                      </w:r>
                    </w:p>
                    <w:p w14:paraId="5465C000" w14:textId="77777777" w:rsidR="007647B4" w:rsidRDefault="007647B4"/>
                  </w:txbxContent>
                </v:textbox>
              </v:shape>
            </w:pict>
          </mc:Fallback>
        </mc:AlternateContent>
      </w:r>
    </w:p>
    <w:p w14:paraId="2565717D" w14:textId="77777777" w:rsidR="00CB1EF0" w:rsidRPr="007647B4" w:rsidRDefault="00CB1EF0" w:rsidP="003B2510">
      <w:pPr>
        <w:jc w:val="both"/>
        <w:rPr>
          <w:rFonts w:asciiTheme="minorHAnsi" w:hAnsiTheme="minorHAnsi" w:cstheme="minorHAnsi"/>
          <w:color w:val="000000" w:themeColor="text1"/>
          <w:sz w:val="22"/>
          <w:szCs w:val="22"/>
        </w:rPr>
      </w:pPr>
    </w:p>
    <w:p w14:paraId="409988BC" w14:textId="01669801" w:rsidR="00CB1EF0" w:rsidRPr="007647B4" w:rsidRDefault="00CB1EF0" w:rsidP="003B2510">
      <w:pPr>
        <w:jc w:val="both"/>
        <w:rPr>
          <w:rFonts w:asciiTheme="minorHAnsi" w:hAnsiTheme="minorHAnsi" w:cstheme="minorHAnsi"/>
          <w:color w:val="000000" w:themeColor="text1"/>
          <w:sz w:val="22"/>
          <w:szCs w:val="22"/>
        </w:rPr>
      </w:pPr>
    </w:p>
    <w:p w14:paraId="775F92B1" w14:textId="1B607A10" w:rsidR="00316817" w:rsidRPr="007647B4" w:rsidRDefault="00316817" w:rsidP="003B2510">
      <w:pPr>
        <w:jc w:val="both"/>
        <w:rPr>
          <w:rFonts w:asciiTheme="minorHAnsi" w:hAnsiTheme="minorHAnsi" w:cstheme="minorHAnsi"/>
          <w:color w:val="000000" w:themeColor="text1"/>
          <w:sz w:val="22"/>
          <w:szCs w:val="22"/>
        </w:rPr>
      </w:pPr>
    </w:p>
    <w:p w14:paraId="57546540" w14:textId="6804C57F" w:rsidR="00CB1EF0" w:rsidRPr="007647B4" w:rsidRDefault="00CB1EF0" w:rsidP="003B2510">
      <w:pPr>
        <w:jc w:val="both"/>
        <w:rPr>
          <w:rFonts w:asciiTheme="minorHAnsi" w:hAnsiTheme="minorHAnsi" w:cstheme="minorHAnsi"/>
          <w:color w:val="000000" w:themeColor="text1"/>
          <w:sz w:val="22"/>
          <w:szCs w:val="22"/>
        </w:rPr>
      </w:pPr>
    </w:p>
    <w:p w14:paraId="044161F8" w14:textId="77C689E4" w:rsidR="00CB1EF0" w:rsidRPr="007647B4" w:rsidRDefault="00CB1EF0" w:rsidP="003B2510">
      <w:pPr>
        <w:jc w:val="both"/>
        <w:rPr>
          <w:rFonts w:asciiTheme="minorHAnsi" w:hAnsiTheme="minorHAnsi" w:cstheme="minorHAnsi"/>
          <w:color w:val="000000" w:themeColor="text1"/>
          <w:sz w:val="22"/>
          <w:szCs w:val="22"/>
        </w:rPr>
      </w:pPr>
    </w:p>
    <w:p w14:paraId="5C25DA0C" w14:textId="1A198A95" w:rsidR="00CB1EF0" w:rsidRPr="007647B4" w:rsidRDefault="003A241C" w:rsidP="003B2510">
      <w:pPr>
        <w:jc w:val="both"/>
        <w:rPr>
          <w:rFonts w:asciiTheme="minorHAnsi" w:hAnsiTheme="minorHAnsi" w:cstheme="minorHAnsi"/>
          <w:color w:val="000000" w:themeColor="text1"/>
          <w:sz w:val="22"/>
          <w:szCs w:val="22"/>
        </w:rPr>
      </w:pPr>
      <w:r w:rsidRPr="007647B4">
        <w:rPr>
          <w:rFonts w:asciiTheme="minorHAnsi" w:hAnsiTheme="minorHAnsi" w:cstheme="minorHAnsi"/>
          <w:noProof/>
          <w:color w:val="000000" w:themeColor="text1"/>
          <w:sz w:val="22"/>
          <w:szCs w:val="22"/>
        </w:rPr>
        <mc:AlternateContent>
          <mc:Choice Requires="wps">
            <w:drawing>
              <wp:anchor distT="0" distB="0" distL="114300" distR="114300" simplePos="0" relativeHeight="251662336" behindDoc="0" locked="0" layoutInCell="1" allowOverlap="1" wp14:anchorId="354AC471" wp14:editId="70BADBC2">
                <wp:simplePos x="0" y="0"/>
                <wp:positionH relativeFrom="column">
                  <wp:posOffset>1341120</wp:posOffset>
                </wp:positionH>
                <wp:positionV relativeFrom="paragraph">
                  <wp:posOffset>40444</wp:posOffset>
                </wp:positionV>
                <wp:extent cx="2674620" cy="1310640"/>
                <wp:effectExtent l="0" t="0" r="17780" b="10160"/>
                <wp:wrapNone/>
                <wp:docPr id="3" name="Text Box 3"/>
                <wp:cNvGraphicFramePr/>
                <a:graphic xmlns:a="http://schemas.openxmlformats.org/drawingml/2006/main">
                  <a:graphicData uri="http://schemas.microsoft.com/office/word/2010/wordprocessingShape">
                    <wps:wsp>
                      <wps:cNvSpPr txBox="1"/>
                      <wps:spPr>
                        <a:xfrm>
                          <a:off x="0" y="0"/>
                          <a:ext cx="2674620" cy="1310640"/>
                        </a:xfrm>
                        <a:prstGeom prst="rect">
                          <a:avLst/>
                        </a:prstGeom>
                        <a:solidFill>
                          <a:schemeClr val="lt1"/>
                        </a:solidFill>
                        <a:ln w="6350">
                          <a:solidFill>
                            <a:prstClr val="black"/>
                          </a:solidFill>
                        </a:ln>
                      </wps:spPr>
                      <wps:txbx>
                        <w:txbxContent>
                          <w:p w14:paraId="0DE93063" w14:textId="77777777" w:rsidR="007647B4" w:rsidRPr="0047760D" w:rsidRDefault="007647B4" w:rsidP="0047760D">
                            <w:pPr>
                              <w:jc w:val="center"/>
                              <w:rPr>
                                <w:sz w:val="12"/>
                                <w:szCs w:val="12"/>
                              </w:rPr>
                            </w:pPr>
                            <w:r w:rsidRPr="0047760D">
                              <w:rPr>
                                <w:b/>
                                <w:sz w:val="12"/>
                                <w:szCs w:val="12"/>
                              </w:rPr>
                              <w:t>Manufactured at:</w:t>
                            </w:r>
                            <w:r w:rsidRPr="0047760D">
                              <w:rPr>
                                <w:sz w:val="12"/>
                                <w:szCs w:val="12"/>
                              </w:rPr>
                              <w:t xml:space="preserve"> Joe’s Kitchen Cert.#: </w:t>
                            </w:r>
                          </w:p>
                          <w:p w14:paraId="45F20ECC" w14:textId="03C7CA5E" w:rsidR="007647B4" w:rsidRPr="0047760D" w:rsidRDefault="007647B4" w:rsidP="0047760D">
                            <w:pPr>
                              <w:rPr>
                                <w:sz w:val="12"/>
                                <w:szCs w:val="12"/>
                              </w:rPr>
                            </w:pPr>
                            <w:r w:rsidRPr="0047760D">
                              <w:rPr>
                                <w:sz w:val="12"/>
                                <w:szCs w:val="12"/>
                              </w:rPr>
                              <w:tab/>
                            </w:r>
                            <w:r w:rsidRPr="0047760D">
                              <w:rPr>
                                <w:sz w:val="12"/>
                                <w:szCs w:val="12"/>
                              </w:rPr>
                              <w:tab/>
                              <w:t xml:space="preserve">321654987101 0401 </w:t>
                            </w:r>
                          </w:p>
                          <w:p w14:paraId="25A14C1B" w14:textId="77777777" w:rsidR="007647B4" w:rsidRDefault="007647B4" w:rsidP="00CB1EF0">
                            <w:pPr>
                              <w:rPr>
                                <w:sz w:val="12"/>
                                <w:szCs w:val="12"/>
                              </w:rPr>
                            </w:pPr>
                            <w:r w:rsidRPr="0047760D">
                              <w:rPr>
                                <w:sz w:val="12"/>
                                <w:szCs w:val="12"/>
                              </w:rPr>
                              <w:tab/>
                              <w:t xml:space="preserve">123 Main Street, Las Vegas, NV on 2/1/14 </w:t>
                            </w:r>
                          </w:p>
                          <w:p w14:paraId="28349D59" w14:textId="77777777" w:rsidR="007647B4" w:rsidRDefault="007647B4" w:rsidP="00CB1EF0">
                            <w:pPr>
                              <w:rPr>
                                <w:sz w:val="12"/>
                                <w:szCs w:val="12"/>
                              </w:rPr>
                            </w:pPr>
                            <w:r>
                              <w:rPr>
                                <w:sz w:val="12"/>
                                <w:szCs w:val="12"/>
                              </w:rPr>
                              <w:tab/>
                              <w:t xml:space="preserve">         </w:t>
                            </w:r>
                          </w:p>
                          <w:p w14:paraId="4EDFACBF" w14:textId="732C5BB0" w:rsidR="007647B4" w:rsidRPr="0047760D" w:rsidRDefault="007647B4" w:rsidP="00CB1EF0">
                            <w:pPr>
                              <w:rPr>
                                <w:sz w:val="12"/>
                                <w:szCs w:val="12"/>
                              </w:rPr>
                            </w:pPr>
                            <w:r>
                              <w:rPr>
                                <w:sz w:val="12"/>
                                <w:szCs w:val="12"/>
                              </w:rPr>
                              <w:tab/>
                              <w:t xml:space="preserve">      </w:t>
                            </w:r>
                            <w:r w:rsidRPr="0047760D">
                              <w:rPr>
                                <w:sz w:val="12"/>
                                <w:szCs w:val="12"/>
                              </w:rPr>
                              <w:t>Lot#: 1234 Batch #5463</w:t>
                            </w:r>
                          </w:p>
                          <w:p w14:paraId="44171DA4" w14:textId="5F04F377" w:rsidR="007647B4" w:rsidRDefault="007647B4" w:rsidP="0047760D">
                            <w:pPr>
                              <w:rPr>
                                <w:sz w:val="12"/>
                                <w:szCs w:val="12"/>
                              </w:rPr>
                            </w:pPr>
                            <w:r>
                              <w:rPr>
                                <w:b/>
                                <w:sz w:val="12"/>
                                <w:szCs w:val="12"/>
                              </w:rPr>
                              <w:tab/>
                            </w:r>
                            <w:r w:rsidRPr="0047760D">
                              <w:rPr>
                                <w:b/>
                                <w:sz w:val="12"/>
                                <w:szCs w:val="12"/>
                              </w:rPr>
                              <w:t>INGREDIENTS:</w:t>
                            </w:r>
                            <w:r w:rsidRPr="0047760D">
                              <w:rPr>
                                <w:sz w:val="12"/>
                                <w:szCs w:val="12"/>
                              </w:rPr>
                              <w:t xml:space="preserve"> Flour, Butter, Canola Oil, </w:t>
                            </w:r>
                          </w:p>
                          <w:p w14:paraId="7821D509" w14:textId="16D70FE8" w:rsidR="007647B4" w:rsidRPr="0047760D" w:rsidRDefault="007647B4" w:rsidP="0047760D">
                            <w:pPr>
                              <w:rPr>
                                <w:sz w:val="12"/>
                                <w:szCs w:val="12"/>
                              </w:rPr>
                            </w:pPr>
                            <w:r>
                              <w:rPr>
                                <w:sz w:val="12"/>
                                <w:szCs w:val="12"/>
                              </w:rPr>
                              <w:tab/>
                              <w:t>S</w:t>
                            </w:r>
                            <w:r w:rsidRPr="0047760D">
                              <w:rPr>
                                <w:sz w:val="12"/>
                                <w:szCs w:val="12"/>
                              </w:rPr>
                              <w:t xml:space="preserve">ugar, Chocolate, Marijuana, Strawberries </w:t>
                            </w:r>
                          </w:p>
                          <w:p w14:paraId="44F6B8F9" w14:textId="77777777" w:rsidR="007647B4" w:rsidRPr="0047760D" w:rsidRDefault="007647B4" w:rsidP="0047760D">
                            <w:pPr>
                              <w:rPr>
                                <w:sz w:val="12"/>
                                <w:szCs w:val="12"/>
                              </w:rPr>
                            </w:pPr>
                          </w:p>
                          <w:p w14:paraId="4823084A" w14:textId="6E27F8D3" w:rsidR="007647B4" w:rsidRPr="0047760D" w:rsidRDefault="007647B4" w:rsidP="0047760D">
                            <w:pPr>
                              <w:rPr>
                                <w:sz w:val="12"/>
                                <w:szCs w:val="12"/>
                              </w:rPr>
                            </w:pPr>
                            <w:r>
                              <w:rPr>
                                <w:b/>
                              </w:rPr>
                              <w:tab/>
                            </w:r>
                            <w:r w:rsidRPr="0047760D">
                              <w:rPr>
                                <w:b/>
                                <w:sz w:val="12"/>
                                <w:szCs w:val="12"/>
                              </w:rPr>
                              <w:t>CONTAINS ALLERGENS:</w:t>
                            </w:r>
                            <w:r w:rsidRPr="0047760D">
                              <w:rPr>
                                <w:sz w:val="12"/>
                                <w:szCs w:val="12"/>
                              </w:rPr>
                              <w:t xml:space="preserve"> Milk, Wheat </w:t>
                            </w:r>
                          </w:p>
                          <w:p w14:paraId="0301E4F0" w14:textId="77777777" w:rsidR="007647B4" w:rsidRPr="0047760D" w:rsidRDefault="007647B4" w:rsidP="0047760D">
                            <w:pPr>
                              <w:rPr>
                                <w:b/>
                                <w:sz w:val="12"/>
                                <w:szCs w:val="12"/>
                              </w:rPr>
                            </w:pPr>
                          </w:p>
                          <w:p w14:paraId="7AB88DCC" w14:textId="5901081C" w:rsidR="007647B4" w:rsidRDefault="007647B4" w:rsidP="0047760D">
                            <w:pPr>
                              <w:rPr>
                                <w:sz w:val="12"/>
                                <w:szCs w:val="12"/>
                              </w:rPr>
                            </w:pPr>
                            <w:r>
                              <w:rPr>
                                <w:b/>
                                <w:sz w:val="12"/>
                                <w:szCs w:val="12"/>
                              </w:rPr>
                              <w:t xml:space="preserve">             </w:t>
                            </w:r>
                            <w:r w:rsidRPr="0047760D">
                              <w:rPr>
                                <w:b/>
                                <w:sz w:val="12"/>
                                <w:szCs w:val="12"/>
                              </w:rPr>
                              <w:t>Contains marijuana extract processed with butane.</w:t>
                            </w:r>
                            <w:r w:rsidRPr="0047760D">
                              <w:rPr>
                                <w:sz w:val="12"/>
                                <w:szCs w:val="12"/>
                              </w:rPr>
                              <w:t xml:space="preserve"> </w:t>
                            </w:r>
                          </w:p>
                          <w:p w14:paraId="17A10001" w14:textId="77777777" w:rsidR="007647B4" w:rsidRPr="0047760D" w:rsidRDefault="007647B4" w:rsidP="0047760D">
                            <w:pPr>
                              <w:rPr>
                                <w:sz w:val="12"/>
                                <w:szCs w:val="12"/>
                              </w:rPr>
                            </w:pPr>
                          </w:p>
                          <w:p w14:paraId="61E1DA1E" w14:textId="77777777" w:rsidR="007647B4" w:rsidRDefault="007647B4" w:rsidP="0047760D">
                            <w:pPr>
                              <w:rPr>
                                <w:sz w:val="12"/>
                                <w:szCs w:val="12"/>
                              </w:rPr>
                            </w:pPr>
                            <w:r>
                              <w:rPr>
                                <w:b/>
                                <w:sz w:val="12"/>
                                <w:szCs w:val="12"/>
                              </w:rPr>
                              <w:t xml:space="preserve">           </w:t>
                            </w:r>
                            <w:r w:rsidRPr="0047760D">
                              <w:rPr>
                                <w:b/>
                                <w:sz w:val="12"/>
                                <w:szCs w:val="12"/>
                              </w:rPr>
                              <w:t>WARNING:</w:t>
                            </w:r>
                            <w:r w:rsidRPr="0047760D">
                              <w:rPr>
                                <w:sz w:val="12"/>
                                <w:szCs w:val="12"/>
                              </w:rPr>
                              <w:t xml:space="preserve"> This product may have intoxi</w:t>
                            </w:r>
                            <w:r>
                              <w:rPr>
                                <w:sz w:val="12"/>
                                <w:szCs w:val="12"/>
                              </w:rPr>
                              <w:t xml:space="preserve">cating effects and may be   </w:t>
                            </w:r>
                          </w:p>
                          <w:p w14:paraId="3C992758" w14:textId="702F1337" w:rsidR="007647B4" w:rsidRPr="0047760D" w:rsidRDefault="007647B4" w:rsidP="0047760D">
                            <w:pPr>
                              <w:rPr>
                                <w:sz w:val="12"/>
                                <w:szCs w:val="12"/>
                              </w:rPr>
                            </w:pPr>
                            <w:r>
                              <w:rPr>
                                <w:sz w:val="12"/>
                                <w:szCs w:val="12"/>
                              </w:rPr>
                              <w:t xml:space="preserve">           habit </w:t>
                            </w:r>
                            <w:r w:rsidRPr="0047760D">
                              <w:rPr>
                                <w:sz w:val="12"/>
                                <w:szCs w:val="12"/>
                              </w:rPr>
                              <w:t>forming.</w:t>
                            </w:r>
                          </w:p>
                          <w:p w14:paraId="75F2EEEE" w14:textId="77777777" w:rsidR="007647B4" w:rsidRDefault="007647B4" w:rsidP="004776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AC471" id="Text Box 3" o:spid="_x0000_s1028" type="#_x0000_t202" style="position:absolute;left:0;text-align:left;margin-left:105.6pt;margin-top:3.2pt;width:210.6pt;height:10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" fillcolor="white [3201]" strokeweight=".5pt">
                <v:textbox>
                  <w:txbxContent>
                    <w:p w14:paraId="0DE93063" w14:textId="77777777" w:rsidR="007647B4" w:rsidRPr="0047760D" w:rsidRDefault="007647B4" w:rsidP="0047760D">
                      <w:pPr>
                        <w:jc w:val="center"/>
                        <w:rPr>
                          <w:sz w:val="12"/>
                          <w:szCs w:val="12"/>
                        </w:rPr>
                      </w:pPr>
                      <w:r w:rsidRPr="0047760D">
                        <w:rPr>
                          <w:b/>
                          <w:sz w:val="12"/>
                          <w:szCs w:val="12"/>
                        </w:rPr>
                        <w:t>Manufactured at:</w:t>
                      </w:r>
                      <w:r w:rsidRPr="0047760D">
                        <w:rPr>
                          <w:sz w:val="12"/>
                          <w:szCs w:val="12"/>
                        </w:rPr>
                        <w:t xml:space="preserve"> Joe’s Kitchen Cert.#: </w:t>
                      </w:r>
                    </w:p>
                    <w:p w14:paraId="45F20ECC" w14:textId="03C7CA5E" w:rsidR="007647B4" w:rsidRPr="0047760D" w:rsidRDefault="007647B4" w:rsidP="0047760D">
                      <w:pPr>
                        <w:rPr>
                          <w:sz w:val="12"/>
                          <w:szCs w:val="12"/>
                        </w:rPr>
                      </w:pPr>
                      <w:r w:rsidRPr="0047760D">
                        <w:rPr>
                          <w:sz w:val="12"/>
                          <w:szCs w:val="12"/>
                        </w:rPr>
                        <w:tab/>
                      </w:r>
                      <w:r w:rsidRPr="0047760D">
                        <w:rPr>
                          <w:sz w:val="12"/>
                          <w:szCs w:val="12"/>
                        </w:rPr>
                        <w:tab/>
                        <w:t xml:space="preserve">321654987101 0401 </w:t>
                      </w:r>
                    </w:p>
                    <w:p w14:paraId="25A14C1B" w14:textId="77777777" w:rsidR="007647B4" w:rsidRDefault="007647B4" w:rsidP="00CB1EF0">
                      <w:pPr>
                        <w:rPr>
                          <w:sz w:val="12"/>
                          <w:szCs w:val="12"/>
                        </w:rPr>
                      </w:pPr>
                      <w:r w:rsidRPr="0047760D">
                        <w:rPr>
                          <w:sz w:val="12"/>
                          <w:szCs w:val="12"/>
                        </w:rPr>
                        <w:tab/>
                        <w:t xml:space="preserve">123 Main Street, Las Vegas, NV on 2/1/14 </w:t>
                      </w:r>
                    </w:p>
                    <w:p w14:paraId="28349D59" w14:textId="77777777" w:rsidR="007647B4" w:rsidRDefault="007647B4" w:rsidP="00CB1EF0">
                      <w:pPr>
                        <w:rPr>
                          <w:sz w:val="12"/>
                          <w:szCs w:val="12"/>
                        </w:rPr>
                      </w:pPr>
                      <w:r>
                        <w:rPr>
                          <w:sz w:val="12"/>
                          <w:szCs w:val="12"/>
                        </w:rPr>
                        <w:tab/>
                        <w:t xml:space="preserve">         </w:t>
                      </w:r>
                    </w:p>
                    <w:p w14:paraId="4EDFACBF" w14:textId="732C5BB0" w:rsidR="007647B4" w:rsidRPr="0047760D" w:rsidRDefault="007647B4" w:rsidP="00CB1EF0">
                      <w:pPr>
                        <w:rPr>
                          <w:sz w:val="12"/>
                          <w:szCs w:val="12"/>
                        </w:rPr>
                      </w:pPr>
                      <w:r>
                        <w:rPr>
                          <w:sz w:val="12"/>
                          <w:szCs w:val="12"/>
                        </w:rPr>
                        <w:tab/>
                        <w:t xml:space="preserve">      </w:t>
                      </w:r>
                      <w:r w:rsidRPr="0047760D">
                        <w:rPr>
                          <w:sz w:val="12"/>
                          <w:szCs w:val="12"/>
                        </w:rPr>
                        <w:t>Lot#: 1234 Batch #5463</w:t>
                      </w:r>
                    </w:p>
                    <w:p w14:paraId="44171DA4" w14:textId="5F04F377" w:rsidR="007647B4" w:rsidRDefault="007647B4" w:rsidP="0047760D">
                      <w:pPr>
                        <w:rPr>
                          <w:sz w:val="12"/>
                          <w:szCs w:val="12"/>
                        </w:rPr>
                      </w:pPr>
                      <w:r>
                        <w:rPr>
                          <w:b/>
                          <w:sz w:val="12"/>
                          <w:szCs w:val="12"/>
                        </w:rPr>
                        <w:tab/>
                      </w:r>
                      <w:r w:rsidRPr="0047760D">
                        <w:rPr>
                          <w:b/>
                          <w:sz w:val="12"/>
                          <w:szCs w:val="12"/>
                        </w:rPr>
                        <w:t>INGREDIENTS:</w:t>
                      </w:r>
                      <w:r w:rsidRPr="0047760D">
                        <w:rPr>
                          <w:sz w:val="12"/>
                          <w:szCs w:val="12"/>
                        </w:rPr>
                        <w:t xml:space="preserve"> Flour, Butter, Canola Oil, </w:t>
                      </w:r>
                    </w:p>
                    <w:p w14:paraId="7821D509" w14:textId="16D70FE8" w:rsidR="007647B4" w:rsidRPr="0047760D" w:rsidRDefault="007647B4" w:rsidP="0047760D">
                      <w:pPr>
                        <w:rPr>
                          <w:sz w:val="12"/>
                          <w:szCs w:val="12"/>
                        </w:rPr>
                      </w:pPr>
                      <w:r>
                        <w:rPr>
                          <w:sz w:val="12"/>
                          <w:szCs w:val="12"/>
                        </w:rPr>
                        <w:tab/>
                        <w:t>S</w:t>
                      </w:r>
                      <w:r w:rsidRPr="0047760D">
                        <w:rPr>
                          <w:sz w:val="12"/>
                          <w:szCs w:val="12"/>
                        </w:rPr>
                        <w:t xml:space="preserve">ugar, Chocolate, Marijuana, Strawberries </w:t>
                      </w:r>
                    </w:p>
                    <w:p w14:paraId="44F6B8F9" w14:textId="77777777" w:rsidR="007647B4" w:rsidRPr="0047760D" w:rsidRDefault="007647B4" w:rsidP="0047760D">
                      <w:pPr>
                        <w:rPr>
                          <w:sz w:val="12"/>
                          <w:szCs w:val="12"/>
                        </w:rPr>
                      </w:pPr>
                    </w:p>
                    <w:p w14:paraId="4823084A" w14:textId="6E27F8D3" w:rsidR="007647B4" w:rsidRPr="0047760D" w:rsidRDefault="007647B4" w:rsidP="0047760D">
                      <w:pPr>
                        <w:rPr>
                          <w:sz w:val="12"/>
                          <w:szCs w:val="12"/>
                        </w:rPr>
                      </w:pPr>
                      <w:r>
                        <w:rPr>
                          <w:b/>
                        </w:rPr>
                        <w:tab/>
                      </w:r>
                      <w:r w:rsidRPr="0047760D">
                        <w:rPr>
                          <w:b/>
                          <w:sz w:val="12"/>
                          <w:szCs w:val="12"/>
                        </w:rPr>
                        <w:t>CONTAINS ALLERGENS:</w:t>
                      </w:r>
                      <w:r w:rsidRPr="0047760D">
                        <w:rPr>
                          <w:sz w:val="12"/>
                          <w:szCs w:val="12"/>
                        </w:rPr>
                        <w:t xml:space="preserve"> Milk, Wheat </w:t>
                      </w:r>
                    </w:p>
                    <w:p w14:paraId="0301E4F0" w14:textId="77777777" w:rsidR="007647B4" w:rsidRPr="0047760D" w:rsidRDefault="007647B4" w:rsidP="0047760D">
                      <w:pPr>
                        <w:rPr>
                          <w:b/>
                          <w:sz w:val="12"/>
                          <w:szCs w:val="12"/>
                        </w:rPr>
                      </w:pPr>
                    </w:p>
                    <w:p w14:paraId="7AB88DCC" w14:textId="5901081C" w:rsidR="007647B4" w:rsidRDefault="007647B4" w:rsidP="0047760D">
                      <w:pPr>
                        <w:rPr>
                          <w:sz w:val="12"/>
                          <w:szCs w:val="12"/>
                        </w:rPr>
                      </w:pPr>
                      <w:r>
                        <w:rPr>
                          <w:b/>
                          <w:sz w:val="12"/>
                          <w:szCs w:val="12"/>
                        </w:rPr>
                        <w:t xml:space="preserve">             </w:t>
                      </w:r>
                      <w:r w:rsidRPr="0047760D">
                        <w:rPr>
                          <w:b/>
                          <w:sz w:val="12"/>
                          <w:szCs w:val="12"/>
                        </w:rPr>
                        <w:t>Contains marijuana extract processed with butane.</w:t>
                      </w:r>
                      <w:r w:rsidRPr="0047760D">
                        <w:rPr>
                          <w:sz w:val="12"/>
                          <w:szCs w:val="12"/>
                        </w:rPr>
                        <w:t xml:space="preserve"> </w:t>
                      </w:r>
                    </w:p>
                    <w:p w14:paraId="17A10001" w14:textId="77777777" w:rsidR="007647B4" w:rsidRPr="0047760D" w:rsidRDefault="007647B4" w:rsidP="0047760D">
                      <w:pPr>
                        <w:rPr>
                          <w:sz w:val="12"/>
                          <w:szCs w:val="12"/>
                        </w:rPr>
                      </w:pPr>
                    </w:p>
                    <w:p w14:paraId="61E1DA1E" w14:textId="77777777" w:rsidR="007647B4" w:rsidRDefault="007647B4" w:rsidP="0047760D">
                      <w:pPr>
                        <w:rPr>
                          <w:sz w:val="12"/>
                          <w:szCs w:val="12"/>
                        </w:rPr>
                      </w:pPr>
                      <w:r>
                        <w:rPr>
                          <w:b/>
                          <w:sz w:val="12"/>
                          <w:szCs w:val="12"/>
                        </w:rPr>
                        <w:t xml:space="preserve">           </w:t>
                      </w:r>
                      <w:r w:rsidRPr="0047760D">
                        <w:rPr>
                          <w:b/>
                          <w:sz w:val="12"/>
                          <w:szCs w:val="12"/>
                        </w:rPr>
                        <w:t>WARNING:</w:t>
                      </w:r>
                      <w:r w:rsidRPr="0047760D">
                        <w:rPr>
                          <w:sz w:val="12"/>
                          <w:szCs w:val="12"/>
                        </w:rPr>
                        <w:t xml:space="preserve"> This product may have intoxi</w:t>
                      </w:r>
                      <w:r>
                        <w:rPr>
                          <w:sz w:val="12"/>
                          <w:szCs w:val="12"/>
                        </w:rPr>
                        <w:t xml:space="preserve">cating effects and may be   </w:t>
                      </w:r>
                    </w:p>
                    <w:p w14:paraId="3C992758" w14:textId="702F1337" w:rsidR="007647B4" w:rsidRPr="0047760D" w:rsidRDefault="007647B4" w:rsidP="0047760D">
                      <w:pPr>
                        <w:rPr>
                          <w:sz w:val="12"/>
                          <w:szCs w:val="12"/>
                        </w:rPr>
                      </w:pPr>
                      <w:r>
                        <w:rPr>
                          <w:sz w:val="12"/>
                          <w:szCs w:val="12"/>
                        </w:rPr>
                        <w:t xml:space="preserve">           habit </w:t>
                      </w:r>
                      <w:r w:rsidRPr="0047760D">
                        <w:rPr>
                          <w:sz w:val="12"/>
                          <w:szCs w:val="12"/>
                        </w:rPr>
                        <w:t>forming.</w:t>
                      </w:r>
                    </w:p>
                    <w:p w14:paraId="75F2EEEE" w14:textId="77777777" w:rsidR="007647B4" w:rsidRDefault="007647B4" w:rsidP="0047760D"/>
                  </w:txbxContent>
                </v:textbox>
              </v:shape>
            </w:pict>
          </mc:Fallback>
        </mc:AlternateContent>
      </w:r>
    </w:p>
    <w:p w14:paraId="11CE1F00" w14:textId="2B87EE03" w:rsidR="00CB1EF0" w:rsidRPr="007647B4" w:rsidRDefault="00CB1EF0" w:rsidP="003B2510">
      <w:pPr>
        <w:jc w:val="both"/>
        <w:rPr>
          <w:rFonts w:asciiTheme="minorHAnsi" w:hAnsiTheme="minorHAnsi" w:cstheme="minorHAnsi"/>
          <w:color w:val="000000" w:themeColor="text1"/>
          <w:sz w:val="22"/>
          <w:szCs w:val="22"/>
        </w:rPr>
      </w:pPr>
    </w:p>
    <w:p w14:paraId="18C2A69C" w14:textId="7E7E6704" w:rsidR="00CB1EF0" w:rsidRPr="007647B4" w:rsidRDefault="00CB1EF0" w:rsidP="003B2510">
      <w:pPr>
        <w:jc w:val="both"/>
        <w:rPr>
          <w:rFonts w:asciiTheme="minorHAnsi" w:hAnsiTheme="minorHAnsi" w:cstheme="minorHAnsi"/>
          <w:color w:val="000000" w:themeColor="text1"/>
          <w:sz w:val="22"/>
          <w:szCs w:val="22"/>
        </w:rPr>
      </w:pPr>
    </w:p>
    <w:p w14:paraId="098DC70D" w14:textId="1F19F326" w:rsidR="00CB1EF0" w:rsidRPr="007647B4" w:rsidRDefault="00CB1EF0" w:rsidP="003B2510">
      <w:pPr>
        <w:jc w:val="both"/>
        <w:rPr>
          <w:rFonts w:asciiTheme="minorHAnsi" w:hAnsiTheme="minorHAnsi" w:cstheme="minorHAnsi"/>
          <w:color w:val="000000" w:themeColor="text1"/>
          <w:sz w:val="22"/>
          <w:szCs w:val="22"/>
        </w:rPr>
      </w:pPr>
    </w:p>
    <w:p w14:paraId="4191BFD6" w14:textId="0F795614" w:rsidR="00CB1EF0" w:rsidRPr="007647B4" w:rsidRDefault="00CB1EF0" w:rsidP="003B2510">
      <w:pPr>
        <w:jc w:val="both"/>
        <w:rPr>
          <w:rFonts w:asciiTheme="minorHAnsi" w:hAnsiTheme="minorHAnsi" w:cstheme="minorHAnsi"/>
          <w:color w:val="000000" w:themeColor="text1"/>
          <w:sz w:val="22"/>
          <w:szCs w:val="22"/>
        </w:rPr>
      </w:pPr>
    </w:p>
    <w:p w14:paraId="3CE7EEDE" w14:textId="465951D7" w:rsidR="00CB1EF0" w:rsidRPr="007647B4" w:rsidRDefault="00CB1EF0" w:rsidP="003B2510">
      <w:pPr>
        <w:jc w:val="both"/>
        <w:rPr>
          <w:rFonts w:asciiTheme="minorHAnsi" w:hAnsiTheme="minorHAnsi" w:cstheme="minorHAnsi"/>
          <w:b/>
          <w:color w:val="000000" w:themeColor="text1"/>
          <w:sz w:val="22"/>
          <w:szCs w:val="22"/>
        </w:rPr>
      </w:pPr>
    </w:p>
    <w:p w14:paraId="0C1BFE0B" w14:textId="77777777" w:rsidR="003A241C" w:rsidRPr="007647B4" w:rsidRDefault="003A241C" w:rsidP="003B2510">
      <w:pPr>
        <w:jc w:val="both"/>
        <w:rPr>
          <w:rFonts w:asciiTheme="minorHAnsi" w:hAnsiTheme="minorHAnsi" w:cstheme="minorHAnsi"/>
          <w:color w:val="000000" w:themeColor="text1"/>
          <w:sz w:val="22"/>
          <w:szCs w:val="22"/>
        </w:rPr>
      </w:pPr>
    </w:p>
    <w:p w14:paraId="42199374" w14:textId="77777777" w:rsidR="003A241C" w:rsidRPr="007647B4" w:rsidRDefault="003A241C" w:rsidP="003B2510">
      <w:pPr>
        <w:jc w:val="both"/>
        <w:rPr>
          <w:rFonts w:asciiTheme="minorHAnsi" w:hAnsiTheme="minorHAnsi" w:cstheme="minorHAnsi"/>
          <w:color w:val="000000" w:themeColor="text1"/>
          <w:sz w:val="22"/>
          <w:szCs w:val="22"/>
        </w:rPr>
      </w:pPr>
    </w:p>
    <w:p w14:paraId="3C0CC3E5" w14:textId="77777777" w:rsidR="003A241C" w:rsidRPr="007647B4" w:rsidRDefault="003A241C" w:rsidP="003B2510">
      <w:pPr>
        <w:jc w:val="both"/>
        <w:rPr>
          <w:rFonts w:asciiTheme="minorHAnsi" w:hAnsiTheme="minorHAnsi" w:cstheme="minorHAnsi"/>
          <w:color w:val="000000" w:themeColor="text1"/>
          <w:sz w:val="22"/>
          <w:szCs w:val="22"/>
        </w:rPr>
      </w:pPr>
    </w:p>
    <w:p w14:paraId="603A5992" w14:textId="2A63087C" w:rsidR="009E43E5" w:rsidRPr="007647B4" w:rsidRDefault="004D6245"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Even more problematic is that the </w:t>
      </w:r>
      <w:r w:rsidR="0054099B" w:rsidRPr="007647B4">
        <w:rPr>
          <w:rFonts w:asciiTheme="minorHAnsi" w:hAnsiTheme="minorHAnsi" w:cstheme="minorHAnsi"/>
          <w:b/>
          <w:color w:val="000000" w:themeColor="text1"/>
          <w:sz w:val="22"/>
          <w:szCs w:val="22"/>
        </w:rPr>
        <w:t xml:space="preserve">proposed regulations </w:t>
      </w:r>
      <w:r w:rsidRPr="007647B4">
        <w:rPr>
          <w:rFonts w:asciiTheme="minorHAnsi" w:hAnsiTheme="minorHAnsi" w:cstheme="minorHAnsi"/>
          <w:b/>
          <w:color w:val="000000" w:themeColor="text1"/>
          <w:sz w:val="22"/>
          <w:szCs w:val="22"/>
        </w:rPr>
        <w:t>appear to ignore the plain language of state law</w:t>
      </w:r>
      <w:r w:rsidRPr="007647B4">
        <w:rPr>
          <w:rFonts w:asciiTheme="minorHAnsi" w:hAnsiTheme="minorHAnsi" w:cstheme="minorHAnsi"/>
          <w:color w:val="000000" w:themeColor="text1"/>
          <w:sz w:val="22"/>
          <w:szCs w:val="22"/>
        </w:rPr>
        <w:t xml:space="preserve"> and suggest </w:t>
      </w:r>
      <w:r w:rsidR="0054099B" w:rsidRPr="007647B4">
        <w:rPr>
          <w:rFonts w:asciiTheme="minorHAnsi" w:hAnsiTheme="minorHAnsi" w:cstheme="minorHAnsi"/>
          <w:color w:val="000000" w:themeColor="text1"/>
          <w:sz w:val="22"/>
          <w:szCs w:val="22"/>
        </w:rPr>
        <w:t>allow</w:t>
      </w:r>
      <w:r w:rsidR="009E43E5" w:rsidRPr="007647B4">
        <w:rPr>
          <w:rFonts w:asciiTheme="minorHAnsi" w:hAnsiTheme="minorHAnsi" w:cstheme="minorHAnsi"/>
          <w:color w:val="000000" w:themeColor="text1"/>
          <w:sz w:val="22"/>
          <w:szCs w:val="22"/>
        </w:rPr>
        <w:t>ing</w:t>
      </w:r>
      <w:r w:rsidR="00B75FAB" w:rsidRPr="007647B4">
        <w:rPr>
          <w:rFonts w:asciiTheme="minorHAnsi" w:hAnsiTheme="minorHAnsi" w:cstheme="minorHAnsi"/>
          <w:color w:val="000000" w:themeColor="text1"/>
          <w:sz w:val="22"/>
          <w:szCs w:val="22"/>
        </w:rPr>
        <w:t xml:space="preserve"> relegation </w:t>
      </w:r>
      <w:r w:rsidR="00613806" w:rsidRPr="007647B4">
        <w:rPr>
          <w:rFonts w:asciiTheme="minorHAnsi" w:hAnsiTheme="minorHAnsi" w:cstheme="minorHAnsi"/>
          <w:color w:val="000000" w:themeColor="text1"/>
          <w:sz w:val="22"/>
          <w:szCs w:val="22"/>
        </w:rPr>
        <w:t xml:space="preserve">of </w:t>
      </w:r>
      <w:r w:rsidR="0054099B" w:rsidRPr="007647B4">
        <w:rPr>
          <w:rFonts w:asciiTheme="minorHAnsi" w:hAnsiTheme="minorHAnsi" w:cstheme="minorHAnsi"/>
          <w:color w:val="000000" w:themeColor="text1"/>
          <w:sz w:val="22"/>
          <w:szCs w:val="22"/>
        </w:rPr>
        <w:t xml:space="preserve">all product warnings </w:t>
      </w:r>
      <w:r w:rsidR="00B75FAB" w:rsidRPr="007647B4">
        <w:rPr>
          <w:rFonts w:asciiTheme="minorHAnsi" w:hAnsiTheme="minorHAnsi" w:cstheme="minorHAnsi"/>
          <w:color w:val="000000" w:themeColor="text1"/>
          <w:sz w:val="22"/>
          <w:szCs w:val="22"/>
        </w:rPr>
        <w:t xml:space="preserve">for manufactured products from the prime real estate of the informational panel, </w:t>
      </w:r>
      <w:r w:rsidR="0054099B" w:rsidRPr="007647B4">
        <w:rPr>
          <w:rFonts w:asciiTheme="minorHAnsi" w:hAnsiTheme="minorHAnsi" w:cstheme="minorHAnsi"/>
          <w:color w:val="000000" w:themeColor="text1"/>
          <w:sz w:val="22"/>
          <w:szCs w:val="22"/>
        </w:rPr>
        <w:t>to “</w:t>
      </w:r>
      <w:r w:rsidR="00CF58E6" w:rsidRPr="007647B4">
        <w:rPr>
          <w:rFonts w:asciiTheme="minorHAnsi" w:hAnsiTheme="minorHAnsi" w:cstheme="minorHAnsi"/>
          <w:color w:val="000000" w:themeColor="text1"/>
          <w:sz w:val="22"/>
          <w:szCs w:val="22"/>
        </w:rPr>
        <w:t>package insert, fold-out or booklet label, or a hanging tag” §</w:t>
      </w:r>
      <w:r w:rsidR="00613806" w:rsidRPr="007647B4">
        <w:rPr>
          <w:rFonts w:asciiTheme="minorHAnsi" w:hAnsiTheme="minorHAnsi" w:cstheme="minorHAnsi"/>
          <w:color w:val="000000" w:themeColor="text1"/>
          <w:sz w:val="22"/>
          <w:szCs w:val="22"/>
        </w:rPr>
        <w:t xml:space="preserve"> </w:t>
      </w:r>
      <w:r w:rsidR="00CF58E6" w:rsidRPr="007647B4">
        <w:rPr>
          <w:rFonts w:asciiTheme="minorHAnsi" w:hAnsiTheme="minorHAnsi" w:cstheme="minorHAnsi"/>
          <w:color w:val="000000" w:themeColor="text1"/>
          <w:sz w:val="22"/>
          <w:szCs w:val="22"/>
        </w:rPr>
        <w:t>40408(c)</w:t>
      </w:r>
      <w:r w:rsidRPr="007647B4">
        <w:rPr>
          <w:rFonts w:asciiTheme="minorHAnsi" w:hAnsiTheme="minorHAnsi" w:cstheme="minorHAnsi"/>
          <w:color w:val="000000" w:themeColor="text1"/>
          <w:sz w:val="22"/>
          <w:szCs w:val="22"/>
        </w:rPr>
        <w:t>, instead</w:t>
      </w:r>
      <w:r w:rsidR="00CF58E6" w:rsidRPr="007647B4">
        <w:rPr>
          <w:rFonts w:asciiTheme="minorHAnsi" w:hAnsiTheme="minorHAnsi" w:cstheme="minorHAnsi"/>
          <w:color w:val="000000" w:themeColor="text1"/>
          <w:sz w:val="22"/>
          <w:szCs w:val="22"/>
        </w:rPr>
        <w:t xml:space="preserve">. </w:t>
      </w:r>
      <w:r w:rsidR="00EE624B" w:rsidRPr="007647B4">
        <w:rPr>
          <w:rFonts w:asciiTheme="minorHAnsi" w:hAnsiTheme="minorHAnsi" w:cstheme="minorHAnsi"/>
          <w:color w:val="000000" w:themeColor="text1"/>
          <w:sz w:val="22"/>
          <w:szCs w:val="22"/>
        </w:rPr>
        <w:t xml:space="preserve">The proposed regulations do not define “package insert,” “fold-out or booklet label,” or “hanging tag.” </w:t>
      </w:r>
      <w:r w:rsidR="009D59BB" w:rsidRPr="007647B4">
        <w:rPr>
          <w:rFonts w:asciiTheme="minorHAnsi" w:hAnsiTheme="minorHAnsi" w:cstheme="minorHAnsi"/>
          <w:color w:val="000000" w:themeColor="text1"/>
          <w:sz w:val="22"/>
          <w:szCs w:val="22"/>
        </w:rPr>
        <w:t>T</w:t>
      </w:r>
      <w:r w:rsidR="00EE624B" w:rsidRPr="007647B4">
        <w:rPr>
          <w:rFonts w:asciiTheme="minorHAnsi" w:hAnsiTheme="minorHAnsi" w:cstheme="minorHAnsi"/>
          <w:color w:val="000000" w:themeColor="text1"/>
          <w:sz w:val="22"/>
          <w:szCs w:val="22"/>
        </w:rPr>
        <w:t xml:space="preserve">hese alternatives </w:t>
      </w:r>
      <w:r w:rsidR="009D59BB" w:rsidRPr="007647B4">
        <w:rPr>
          <w:rFonts w:asciiTheme="minorHAnsi" w:hAnsiTheme="minorHAnsi" w:cstheme="minorHAnsi"/>
          <w:color w:val="000000" w:themeColor="text1"/>
          <w:sz w:val="22"/>
          <w:szCs w:val="22"/>
        </w:rPr>
        <w:t xml:space="preserve">make a bad </w:t>
      </w:r>
      <w:r w:rsidR="00F82CDC" w:rsidRPr="007647B4">
        <w:rPr>
          <w:rFonts w:asciiTheme="minorHAnsi" w:hAnsiTheme="minorHAnsi" w:cstheme="minorHAnsi"/>
          <w:color w:val="000000" w:themeColor="text1"/>
          <w:sz w:val="22"/>
          <w:szCs w:val="22"/>
        </w:rPr>
        <w:t xml:space="preserve">regulation </w:t>
      </w:r>
      <w:r w:rsidR="009D59BB" w:rsidRPr="007647B4">
        <w:rPr>
          <w:rFonts w:asciiTheme="minorHAnsi" w:hAnsiTheme="minorHAnsi" w:cstheme="minorHAnsi"/>
          <w:color w:val="000000" w:themeColor="text1"/>
          <w:sz w:val="22"/>
          <w:szCs w:val="22"/>
        </w:rPr>
        <w:t>even worse, by allowing movement</w:t>
      </w:r>
      <w:r w:rsidR="00B75FAB" w:rsidRPr="007647B4">
        <w:rPr>
          <w:rFonts w:asciiTheme="minorHAnsi" w:hAnsiTheme="minorHAnsi" w:cstheme="minorHAnsi"/>
          <w:color w:val="000000" w:themeColor="text1"/>
          <w:sz w:val="22"/>
          <w:szCs w:val="22"/>
        </w:rPr>
        <w:t xml:space="preserve"> of essential information to</w:t>
      </w:r>
      <w:r w:rsidR="00DA6B6F" w:rsidRPr="007647B4">
        <w:rPr>
          <w:rFonts w:asciiTheme="minorHAnsi" w:hAnsiTheme="minorHAnsi" w:cstheme="minorHAnsi"/>
          <w:color w:val="000000" w:themeColor="text1"/>
          <w:sz w:val="22"/>
          <w:szCs w:val="22"/>
        </w:rPr>
        <w:t xml:space="preserve"> </w:t>
      </w:r>
      <w:r w:rsidR="009D59BB" w:rsidRPr="007647B4">
        <w:rPr>
          <w:rFonts w:asciiTheme="minorHAnsi" w:hAnsiTheme="minorHAnsi" w:cstheme="minorHAnsi"/>
          <w:color w:val="000000" w:themeColor="text1"/>
          <w:sz w:val="22"/>
          <w:szCs w:val="22"/>
        </w:rPr>
        <w:t xml:space="preserve">pieces that we know consumer routinely discard or disregard, and which </w:t>
      </w:r>
      <w:r w:rsidR="00EE624B" w:rsidRPr="007647B4">
        <w:rPr>
          <w:rFonts w:asciiTheme="minorHAnsi" w:hAnsiTheme="minorHAnsi" w:cstheme="minorHAnsi"/>
          <w:color w:val="000000" w:themeColor="text1"/>
          <w:sz w:val="22"/>
          <w:szCs w:val="22"/>
        </w:rPr>
        <w:t>be essentially hidden from the consumer.</w:t>
      </w:r>
      <w:r w:rsidR="00DA6B6F" w:rsidRPr="007647B4">
        <w:rPr>
          <w:rFonts w:asciiTheme="minorHAnsi" w:hAnsiTheme="minorHAnsi" w:cstheme="minorHAnsi"/>
          <w:color w:val="000000" w:themeColor="text1"/>
          <w:sz w:val="22"/>
          <w:szCs w:val="22"/>
        </w:rPr>
        <w:t xml:space="preserve"> </w:t>
      </w:r>
      <w:r w:rsidR="009E43E5" w:rsidRPr="007647B4">
        <w:rPr>
          <w:rFonts w:asciiTheme="minorHAnsi" w:hAnsiTheme="minorHAnsi" w:cstheme="minorHAnsi"/>
          <w:color w:val="333333"/>
          <w:sz w:val="22"/>
          <w:szCs w:val="22"/>
          <w:shd w:val="clear" w:color="auto" w:fill="FFFFFF"/>
        </w:rPr>
        <w:t xml:space="preserve">State law establishes that </w:t>
      </w:r>
      <w:r w:rsidR="009E43E5" w:rsidRPr="007647B4">
        <w:rPr>
          <w:rFonts w:asciiTheme="minorHAnsi" w:hAnsiTheme="minorHAnsi" w:cstheme="minorHAnsi"/>
          <w:i/>
          <w:sz w:val="22"/>
          <w:szCs w:val="22"/>
          <w:shd w:val="clear" w:color="auto" w:fill="FFFFFF"/>
        </w:rPr>
        <w:t>“All cannabis and cannabis </w:t>
      </w:r>
      <w:r w:rsidR="009E43E5" w:rsidRPr="007647B4">
        <w:rPr>
          <w:rFonts w:asciiTheme="minorHAnsi" w:hAnsiTheme="minorHAnsi" w:cstheme="minorHAnsi"/>
          <w:b/>
          <w:i/>
          <w:sz w:val="22"/>
          <w:szCs w:val="22"/>
          <w:u w:val="single"/>
        </w:rPr>
        <w:t>product labels and inserts</w:t>
      </w:r>
      <w:r w:rsidR="009E43E5" w:rsidRPr="007647B4">
        <w:rPr>
          <w:rFonts w:asciiTheme="minorHAnsi" w:hAnsiTheme="minorHAnsi" w:cstheme="minorHAnsi"/>
          <w:i/>
          <w:sz w:val="22"/>
          <w:szCs w:val="22"/>
          <w:shd w:val="clear" w:color="auto" w:fill="FFFFFF"/>
        </w:rPr>
        <w:t> shall include the following information prominently displayed in a clear and legible fashion in accordance with the requirements, including font size, prescribed by the State Department of Public Health..."</w:t>
      </w:r>
      <w:r w:rsidR="009E43E5" w:rsidRPr="007647B4">
        <w:rPr>
          <w:rFonts w:asciiTheme="minorHAnsi" w:hAnsiTheme="minorHAnsi" w:cstheme="minorHAnsi"/>
          <w:sz w:val="22"/>
          <w:szCs w:val="22"/>
          <w:shd w:val="clear" w:color="auto" w:fill="FFFFFF"/>
        </w:rPr>
        <w:t xml:space="preserve"> 26120(c). State law </w:t>
      </w:r>
      <w:r w:rsidR="009E43E5" w:rsidRPr="007647B4">
        <w:rPr>
          <w:rFonts w:asciiTheme="minorHAnsi" w:hAnsiTheme="minorHAnsi" w:cstheme="minorHAnsi"/>
          <w:b/>
          <w:sz w:val="22"/>
          <w:szCs w:val="22"/>
          <w:shd w:val="clear" w:color="auto" w:fill="FFFFFF"/>
        </w:rPr>
        <w:t>does not</w:t>
      </w:r>
      <w:r w:rsidR="009E43E5" w:rsidRPr="007647B4">
        <w:rPr>
          <w:rFonts w:asciiTheme="minorHAnsi" w:hAnsiTheme="minorHAnsi" w:cstheme="minorHAnsi"/>
          <w:sz w:val="22"/>
          <w:szCs w:val="22"/>
          <w:shd w:val="clear" w:color="auto" w:fill="FFFFFF"/>
        </w:rPr>
        <w:t xml:space="preserve"> say product labels </w:t>
      </w:r>
      <w:r w:rsidR="009E43E5" w:rsidRPr="007647B4">
        <w:rPr>
          <w:rFonts w:asciiTheme="minorHAnsi" w:hAnsiTheme="minorHAnsi" w:cstheme="minorHAnsi"/>
          <w:b/>
          <w:sz w:val="22"/>
          <w:szCs w:val="22"/>
          <w:shd w:val="clear" w:color="auto" w:fill="FFFFFF"/>
        </w:rPr>
        <w:t>OR</w:t>
      </w:r>
      <w:r w:rsidR="009E43E5" w:rsidRPr="007647B4">
        <w:rPr>
          <w:rFonts w:asciiTheme="minorHAnsi" w:hAnsiTheme="minorHAnsi" w:cstheme="minorHAnsi"/>
          <w:sz w:val="22"/>
          <w:szCs w:val="22"/>
          <w:shd w:val="clear" w:color="auto" w:fill="FFFFFF"/>
        </w:rPr>
        <w:t xml:space="preserve"> inserts, as the proposed regulation appears to imply. </w:t>
      </w:r>
    </w:p>
    <w:p w14:paraId="2875F576" w14:textId="50567CF8" w:rsidR="00EE624B" w:rsidRPr="007647B4" w:rsidRDefault="00EE624B" w:rsidP="003B2510">
      <w:pPr>
        <w:jc w:val="both"/>
        <w:rPr>
          <w:rFonts w:asciiTheme="minorHAnsi" w:hAnsiTheme="minorHAnsi" w:cstheme="minorHAnsi"/>
          <w:color w:val="000000" w:themeColor="text1"/>
          <w:sz w:val="22"/>
          <w:szCs w:val="22"/>
        </w:rPr>
      </w:pPr>
    </w:p>
    <w:p w14:paraId="21050C6A" w14:textId="7A446D54" w:rsidR="00EE624B" w:rsidRPr="007647B4" w:rsidRDefault="00EE624B" w:rsidP="003B2510">
      <w:pPr>
        <w:jc w:val="both"/>
        <w:rPr>
          <w:rFonts w:asciiTheme="minorHAnsi" w:hAnsiTheme="minorHAnsi" w:cstheme="minorHAnsi"/>
          <w:color w:val="000000" w:themeColor="text1"/>
          <w:sz w:val="22"/>
          <w:szCs w:val="22"/>
        </w:rPr>
      </w:pPr>
      <w:r w:rsidRPr="007647B4">
        <w:rPr>
          <w:rFonts w:asciiTheme="minorHAnsi" w:hAnsiTheme="minorHAnsi" w:cstheme="minorHAnsi"/>
          <w:b/>
          <w:color w:val="000000" w:themeColor="text1"/>
          <w:sz w:val="22"/>
          <w:szCs w:val="22"/>
        </w:rPr>
        <w:t xml:space="preserve">We recommend that the regulations </w:t>
      </w:r>
      <w:r w:rsidR="00B75FAB" w:rsidRPr="007647B4">
        <w:rPr>
          <w:rFonts w:asciiTheme="minorHAnsi" w:hAnsiTheme="minorHAnsi" w:cstheme="minorHAnsi"/>
          <w:b/>
          <w:color w:val="000000" w:themeColor="text1"/>
          <w:sz w:val="22"/>
          <w:szCs w:val="22"/>
        </w:rPr>
        <w:t>respect</w:t>
      </w:r>
      <w:r w:rsidR="009D59BB" w:rsidRPr="007647B4">
        <w:rPr>
          <w:rFonts w:asciiTheme="minorHAnsi" w:hAnsiTheme="minorHAnsi" w:cstheme="minorHAnsi"/>
          <w:b/>
          <w:color w:val="000000" w:themeColor="text1"/>
          <w:sz w:val="22"/>
          <w:szCs w:val="22"/>
        </w:rPr>
        <w:t xml:space="preserve"> the </w:t>
      </w:r>
      <w:r w:rsidR="00B75FAB" w:rsidRPr="007647B4">
        <w:rPr>
          <w:rFonts w:asciiTheme="minorHAnsi" w:hAnsiTheme="minorHAnsi" w:cstheme="minorHAnsi"/>
          <w:b/>
          <w:color w:val="000000" w:themeColor="text1"/>
          <w:sz w:val="22"/>
          <w:szCs w:val="22"/>
        </w:rPr>
        <w:t xml:space="preserve">legal </w:t>
      </w:r>
      <w:r w:rsidR="009D59BB" w:rsidRPr="007647B4">
        <w:rPr>
          <w:rFonts w:asciiTheme="minorHAnsi" w:hAnsiTheme="minorHAnsi" w:cstheme="minorHAnsi"/>
          <w:b/>
          <w:color w:val="000000" w:themeColor="text1"/>
          <w:sz w:val="22"/>
          <w:szCs w:val="22"/>
        </w:rPr>
        <w:t xml:space="preserve">requirement </w:t>
      </w:r>
      <w:r w:rsidR="009E43E5" w:rsidRPr="007647B4">
        <w:rPr>
          <w:rFonts w:asciiTheme="minorHAnsi" w:hAnsiTheme="minorHAnsi" w:cstheme="minorHAnsi"/>
          <w:b/>
          <w:color w:val="000000" w:themeColor="text1"/>
          <w:sz w:val="22"/>
          <w:szCs w:val="22"/>
        </w:rPr>
        <w:t xml:space="preserve">for </w:t>
      </w:r>
      <w:r w:rsidRPr="007647B4">
        <w:rPr>
          <w:rFonts w:asciiTheme="minorHAnsi" w:hAnsiTheme="minorHAnsi" w:cstheme="minorHAnsi"/>
          <w:b/>
          <w:color w:val="000000" w:themeColor="text1"/>
          <w:sz w:val="22"/>
          <w:szCs w:val="22"/>
        </w:rPr>
        <w:t>warnings on the package label rather than by package insert or booklet</w:t>
      </w:r>
      <w:r w:rsidR="00EC6CCE" w:rsidRPr="007647B4">
        <w:rPr>
          <w:rFonts w:asciiTheme="minorHAnsi" w:hAnsiTheme="minorHAnsi" w:cstheme="minorHAnsi"/>
          <w:color w:val="000000" w:themeColor="text1"/>
          <w:sz w:val="22"/>
          <w:szCs w:val="22"/>
        </w:rPr>
        <w:t>. Package labels are more likely to be seen by the consumer or any other person who comes across the product after the initial purchase</w:t>
      </w:r>
      <w:r w:rsidR="00EF732A" w:rsidRPr="007647B4">
        <w:rPr>
          <w:rFonts w:asciiTheme="minorHAnsi" w:hAnsiTheme="minorHAnsi" w:cstheme="minorHAnsi"/>
          <w:color w:val="000000" w:themeColor="text1"/>
          <w:sz w:val="22"/>
          <w:szCs w:val="22"/>
        </w:rPr>
        <w:t xml:space="preserve"> because it is too easy for package inserts to be discarded with the exit packaging without ever being seen. </w:t>
      </w:r>
    </w:p>
    <w:p w14:paraId="6B568346" w14:textId="70F70E2F" w:rsidR="00EF732A" w:rsidRPr="007647B4" w:rsidRDefault="00EF732A" w:rsidP="003B2510">
      <w:pPr>
        <w:jc w:val="both"/>
        <w:rPr>
          <w:rFonts w:asciiTheme="minorHAnsi" w:hAnsiTheme="minorHAnsi" w:cstheme="minorHAnsi"/>
          <w:color w:val="000000" w:themeColor="text1"/>
          <w:sz w:val="22"/>
          <w:szCs w:val="22"/>
        </w:rPr>
      </w:pPr>
    </w:p>
    <w:p w14:paraId="50E827B8" w14:textId="7BE7BC06" w:rsidR="00EF732A" w:rsidRPr="007647B4" w:rsidRDefault="00EF732A"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There is substantial evidence from tobacco and alcohol studies that package labels work. Warning labels on packages have been shown to increase knowledge of the risks of smoking, make smokers think about quitting, and prevent non-smokers from starting.</w:t>
      </w:r>
      <w:r w:rsidR="00613806" w:rsidRPr="007647B4">
        <w:rPr>
          <w:rStyle w:val="FootnoteReference"/>
          <w:rFonts w:asciiTheme="minorHAnsi" w:hAnsiTheme="minorHAnsi" w:cstheme="minorHAnsi"/>
          <w:color w:val="000000" w:themeColor="text1"/>
          <w:sz w:val="22"/>
          <w:szCs w:val="22"/>
        </w:rPr>
        <w:footnoteReference w:id="110"/>
      </w:r>
      <w:r w:rsidR="00DA6B6F" w:rsidRPr="007647B4">
        <w:rPr>
          <w:rFonts w:asciiTheme="minorHAnsi" w:hAnsiTheme="minorHAnsi" w:cstheme="minorHAnsi"/>
          <w:color w:val="000000" w:themeColor="text1"/>
          <w:sz w:val="22"/>
          <w:szCs w:val="22"/>
        </w:rPr>
        <w:t xml:space="preserve"> </w:t>
      </w:r>
      <w:r w:rsidR="004D5771" w:rsidRPr="007647B4">
        <w:rPr>
          <w:rFonts w:asciiTheme="minorHAnsi" w:hAnsiTheme="minorHAnsi" w:cstheme="minorHAnsi"/>
          <w:color w:val="000000" w:themeColor="text1"/>
          <w:sz w:val="22"/>
          <w:szCs w:val="22"/>
        </w:rPr>
        <w:t>The effectiveness of warning labels is highest when the warnings are large, prominent, full color and contain graphic images.</w:t>
      </w:r>
      <w:r w:rsidR="00E57C16" w:rsidRPr="007647B4">
        <w:rPr>
          <w:rStyle w:val="FootnoteReference"/>
          <w:rFonts w:asciiTheme="minorHAnsi" w:hAnsiTheme="minorHAnsi" w:cstheme="minorHAnsi"/>
          <w:color w:val="000000" w:themeColor="text1"/>
          <w:sz w:val="22"/>
          <w:szCs w:val="22"/>
        </w:rPr>
        <w:footnoteReference w:id="111"/>
      </w:r>
    </w:p>
    <w:p w14:paraId="70B470B1" w14:textId="555429C4" w:rsidR="004D5771" w:rsidRPr="007647B4" w:rsidRDefault="004D5771" w:rsidP="003B2510">
      <w:pPr>
        <w:jc w:val="both"/>
        <w:rPr>
          <w:rFonts w:asciiTheme="minorHAnsi" w:hAnsiTheme="minorHAnsi" w:cstheme="minorHAnsi"/>
          <w:color w:val="000000" w:themeColor="text1"/>
          <w:sz w:val="22"/>
          <w:szCs w:val="22"/>
        </w:rPr>
      </w:pPr>
    </w:p>
    <w:p w14:paraId="18D31A99" w14:textId="5FD28B0B" w:rsidR="004D5771" w:rsidRPr="007647B4" w:rsidRDefault="004D5771"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On the other hand, there is very little evidence on the effectiveness of package inserts. However, what evidence does exist indicates that package inserts are effective when coupled with package warning </w:t>
      </w:r>
      <w:r w:rsidRPr="007647B4">
        <w:rPr>
          <w:rFonts w:asciiTheme="minorHAnsi" w:hAnsiTheme="minorHAnsi" w:cstheme="minorHAnsi"/>
          <w:color w:val="000000" w:themeColor="text1"/>
          <w:sz w:val="22"/>
          <w:szCs w:val="22"/>
        </w:rPr>
        <w:lastRenderedPageBreak/>
        <w:t>labels.</w:t>
      </w:r>
      <w:r w:rsidR="006E6CE1" w:rsidRPr="007647B4">
        <w:rPr>
          <w:rStyle w:val="FootnoteReference"/>
          <w:rFonts w:asciiTheme="minorHAnsi" w:hAnsiTheme="minorHAnsi" w:cstheme="minorHAnsi"/>
          <w:color w:val="000000" w:themeColor="text1"/>
          <w:sz w:val="22"/>
          <w:szCs w:val="22"/>
        </w:rPr>
        <w:footnoteReference w:id="112"/>
      </w:r>
      <w:r w:rsidRPr="007647B4">
        <w:rPr>
          <w:rFonts w:asciiTheme="minorHAnsi" w:hAnsiTheme="minorHAnsi" w:cstheme="minorHAnsi"/>
          <w:color w:val="000000" w:themeColor="text1"/>
          <w:sz w:val="22"/>
          <w:szCs w:val="22"/>
        </w:rPr>
        <w:t xml:space="preserve"> There is an abundance of evidence from alcohol and tobacco that warning label features such as font size, inclusion of images and graphics, and clear information improves consumer recall, perception of risks, and intentions to cut down or quit as appropriate.</w:t>
      </w:r>
      <w:r w:rsidR="006E6CE1" w:rsidRPr="007647B4">
        <w:rPr>
          <w:rStyle w:val="FootnoteReference"/>
          <w:rFonts w:asciiTheme="minorHAnsi" w:hAnsiTheme="minorHAnsi" w:cstheme="minorHAnsi"/>
          <w:color w:val="000000" w:themeColor="text1"/>
          <w:sz w:val="22"/>
          <w:szCs w:val="22"/>
        </w:rPr>
        <w:footnoteReference w:id="113"/>
      </w:r>
      <w:r w:rsidR="006E6CE1" w:rsidRPr="007647B4">
        <w:rPr>
          <w:rFonts w:asciiTheme="minorHAnsi" w:hAnsiTheme="minorHAnsi" w:cstheme="minorHAnsi"/>
          <w:color w:val="000000" w:themeColor="text1"/>
          <w:sz w:val="22"/>
          <w:szCs w:val="22"/>
          <w:vertAlign w:val="superscript"/>
        </w:rPr>
        <w:t>,</w:t>
      </w:r>
      <w:r w:rsidR="006E6CE1" w:rsidRPr="007647B4">
        <w:rPr>
          <w:rStyle w:val="FootnoteReference"/>
          <w:rFonts w:asciiTheme="minorHAnsi" w:hAnsiTheme="minorHAnsi" w:cstheme="minorHAnsi"/>
          <w:color w:val="000000" w:themeColor="text1"/>
          <w:sz w:val="22"/>
          <w:szCs w:val="22"/>
        </w:rPr>
        <w:footnoteReference w:id="114"/>
      </w:r>
      <w:r w:rsidR="006E6CE1" w:rsidRPr="007647B4">
        <w:rPr>
          <w:rFonts w:asciiTheme="minorHAnsi" w:hAnsiTheme="minorHAnsi" w:cstheme="minorHAnsi"/>
          <w:color w:val="000000" w:themeColor="text1"/>
          <w:sz w:val="22"/>
          <w:szCs w:val="22"/>
          <w:vertAlign w:val="superscript"/>
        </w:rPr>
        <w:t>,</w:t>
      </w:r>
      <w:r w:rsidR="006E6CE1" w:rsidRPr="007647B4">
        <w:rPr>
          <w:rStyle w:val="FootnoteReference"/>
          <w:rFonts w:asciiTheme="minorHAnsi" w:hAnsiTheme="minorHAnsi" w:cstheme="minorHAnsi"/>
          <w:color w:val="000000" w:themeColor="text1"/>
          <w:sz w:val="22"/>
          <w:szCs w:val="22"/>
        </w:rPr>
        <w:footnoteReference w:id="115"/>
      </w:r>
      <w:r w:rsidR="00DA6B6F" w:rsidRPr="007647B4">
        <w:rPr>
          <w:rFonts w:asciiTheme="minorHAnsi" w:hAnsiTheme="minorHAnsi" w:cstheme="minorHAnsi"/>
          <w:color w:val="000000" w:themeColor="text1"/>
          <w:sz w:val="22"/>
          <w:szCs w:val="22"/>
        </w:rPr>
        <w:t xml:space="preserve"> </w:t>
      </w:r>
    </w:p>
    <w:p w14:paraId="547F0CBF" w14:textId="77777777" w:rsidR="00CF58E6" w:rsidRPr="007647B4" w:rsidRDefault="00CF58E6" w:rsidP="003B2510">
      <w:pPr>
        <w:jc w:val="both"/>
        <w:rPr>
          <w:rFonts w:asciiTheme="minorHAnsi" w:hAnsiTheme="minorHAnsi" w:cstheme="minorHAnsi"/>
          <w:color w:val="000000" w:themeColor="text1"/>
          <w:sz w:val="22"/>
          <w:szCs w:val="22"/>
        </w:rPr>
      </w:pPr>
    </w:p>
    <w:p w14:paraId="1D78E9C3" w14:textId="6ACE705E" w:rsidR="00CB1EF0" w:rsidRPr="007647B4" w:rsidRDefault="00932F13" w:rsidP="003B2510">
      <w:pPr>
        <w:jc w:val="both"/>
        <w:rPr>
          <w:rFonts w:asciiTheme="minorHAnsi" w:hAnsiTheme="minorHAnsi" w:cstheme="minorHAnsi"/>
          <w:b/>
          <w:color w:val="000000" w:themeColor="text1"/>
          <w:sz w:val="22"/>
          <w:szCs w:val="22"/>
        </w:rPr>
      </w:pPr>
      <w:r w:rsidRPr="007647B4">
        <w:rPr>
          <w:rFonts w:asciiTheme="minorHAnsi" w:hAnsiTheme="minorHAnsi" w:cstheme="minorHAnsi"/>
          <w:b/>
          <w:color w:val="000000" w:themeColor="text1"/>
          <w:sz w:val="22"/>
          <w:szCs w:val="22"/>
        </w:rPr>
        <w:t>6</w:t>
      </w:r>
      <w:r w:rsidR="00CB1EF0" w:rsidRPr="007647B4">
        <w:rPr>
          <w:rFonts w:asciiTheme="minorHAnsi" w:hAnsiTheme="minorHAnsi" w:cstheme="minorHAnsi"/>
          <w:b/>
          <w:color w:val="000000" w:themeColor="text1"/>
          <w:sz w:val="22"/>
          <w:szCs w:val="22"/>
        </w:rPr>
        <w:t xml:space="preserve">. Include </w:t>
      </w:r>
      <w:r w:rsidR="00E57C16" w:rsidRPr="007647B4">
        <w:rPr>
          <w:rFonts w:asciiTheme="minorHAnsi" w:hAnsiTheme="minorHAnsi" w:cstheme="minorHAnsi"/>
          <w:b/>
          <w:color w:val="000000" w:themeColor="text1"/>
          <w:sz w:val="22"/>
          <w:szCs w:val="22"/>
        </w:rPr>
        <w:t>R</w:t>
      </w:r>
      <w:r w:rsidR="00CB1EF0" w:rsidRPr="007647B4">
        <w:rPr>
          <w:rFonts w:asciiTheme="minorHAnsi" w:hAnsiTheme="minorHAnsi" w:cstheme="minorHAnsi"/>
          <w:b/>
          <w:color w:val="000000" w:themeColor="text1"/>
          <w:sz w:val="22"/>
          <w:szCs w:val="22"/>
        </w:rPr>
        <w:t xml:space="preserve">otating </w:t>
      </w:r>
      <w:r w:rsidR="00E57C16" w:rsidRPr="007647B4">
        <w:rPr>
          <w:rFonts w:asciiTheme="minorHAnsi" w:hAnsiTheme="minorHAnsi" w:cstheme="minorHAnsi"/>
          <w:b/>
          <w:color w:val="000000" w:themeColor="text1"/>
          <w:sz w:val="22"/>
          <w:szCs w:val="22"/>
        </w:rPr>
        <w:t>Heal</w:t>
      </w:r>
      <w:r w:rsidR="00CB1EF0" w:rsidRPr="007647B4">
        <w:rPr>
          <w:rFonts w:asciiTheme="minorHAnsi" w:hAnsiTheme="minorHAnsi" w:cstheme="minorHAnsi"/>
          <w:b/>
          <w:color w:val="000000" w:themeColor="text1"/>
          <w:sz w:val="22"/>
          <w:szCs w:val="22"/>
        </w:rPr>
        <w:t xml:space="preserve">th </w:t>
      </w:r>
      <w:r w:rsidR="00E57C16" w:rsidRPr="007647B4">
        <w:rPr>
          <w:rFonts w:asciiTheme="minorHAnsi" w:hAnsiTheme="minorHAnsi" w:cstheme="minorHAnsi"/>
          <w:b/>
          <w:color w:val="000000" w:themeColor="text1"/>
          <w:sz w:val="22"/>
          <w:szCs w:val="22"/>
        </w:rPr>
        <w:t>W</w:t>
      </w:r>
      <w:r w:rsidR="00CB1EF0" w:rsidRPr="007647B4">
        <w:rPr>
          <w:rFonts w:asciiTheme="minorHAnsi" w:hAnsiTheme="minorHAnsi" w:cstheme="minorHAnsi"/>
          <w:b/>
          <w:color w:val="000000" w:themeColor="text1"/>
          <w:sz w:val="22"/>
          <w:szCs w:val="22"/>
        </w:rPr>
        <w:t xml:space="preserve">arnings and </w:t>
      </w:r>
      <w:r w:rsidR="00E57C16" w:rsidRPr="007647B4">
        <w:rPr>
          <w:rFonts w:asciiTheme="minorHAnsi" w:hAnsiTheme="minorHAnsi" w:cstheme="minorHAnsi"/>
          <w:b/>
          <w:color w:val="000000" w:themeColor="text1"/>
          <w:sz w:val="22"/>
          <w:szCs w:val="22"/>
        </w:rPr>
        <w:t>P</w:t>
      </w:r>
      <w:r w:rsidR="00CB1EF0" w:rsidRPr="007647B4">
        <w:rPr>
          <w:rFonts w:asciiTheme="minorHAnsi" w:hAnsiTheme="minorHAnsi" w:cstheme="minorHAnsi"/>
          <w:b/>
          <w:color w:val="000000" w:themeColor="text1"/>
          <w:sz w:val="22"/>
          <w:szCs w:val="22"/>
        </w:rPr>
        <w:t xml:space="preserve">ictorial </w:t>
      </w:r>
      <w:r w:rsidR="00E57C16" w:rsidRPr="007647B4">
        <w:rPr>
          <w:rFonts w:asciiTheme="minorHAnsi" w:hAnsiTheme="minorHAnsi" w:cstheme="minorHAnsi"/>
          <w:b/>
          <w:color w:val="000000" w:themeColor="text1"/>
          <w:sz w:val="22"/>
          <w:szCs w:val="22"/>
        </w:rPr>
        <w:t>W</w:t>
      </w:r>
      <w:r w:rsidR="00CB1EF0" w:rsidRPr="007647B4">
        <w:rPr>
          <w:rFonts w:asciiTheme="minorHAnsi" w:hAnsiTheme="minorHAnsi" w:cstheme="minorHAnsi"/>
          <w:b/>
          <w:color w:val="000000" w:themeColor="text1"/>
          <w:sz w:val="22"/>
          <w:szCs w:val="22"/>
        </w:rPr>
        <w:t>arnings (§ 40408)</w:t>
      </w:r>
    </w:p>
    <w:p w14:paraId="74775DC1" w14:textId="2254ADC0" w:rsidR="00CB1EF0" w:rsidRPr="007647B4" w:rsidRDefault="00CB1EF0" w:rsidP="003B2510">
      <w:pPr>
        <w:jc w:val="both"/>
        <w:rPr>
          <w:rFonts w:asciiTheme="minorHAnsi" w:hAnsiTheme="minorHAnsi" w:cstheme="minorHAnsi"/>
          <w:b/>
          <w:color w:val="000000" w:themeColor="text1"/>
          <w:sz w:val="22"/>
          <w:szCs w:val="22"/>
        </w:rPr>
      </w:pPr>
    </w:p>
    <w:p w14:paraId="49515320" w14:textId="042520C7" w:rsidR="00CB1EF0" w:rsidRPr="007647B4" w:rsidRDefault="00CB1EF0"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The proposed regulations (§ 40408) mandate textual warnings of hazards for children and animals, use while pregnant or breastfeeding, delayed intoxication, and impaired driving. Tobacco warning labels are more effective when changed periodically. To better educate consumers and reduce perceptions of harmlessness, cannabis labels should include comprehensive and rotating health warnings consistent with current risk information, including secondhand exposure</w:t>
      </w:r>
      <w:r w:rsidR="00E57C16" w:rsidRPr="007647B4">
        <w:rPr>
          <w:rFonts w:asciiTheme="minorHAnsi" w:hAnsiTheme="minorHAnsi" w:cstheme="minorHAnsi"/>
          <w:color w:val="000000" w:themeColor="text1"/>
          <w:sz w:val="22"/>
          <w:szCs w:val="22"/>
        </w:rPr>
        <w:t>,</w:t>
      </w:r>
      <w:r w:rsidR="00E57C16" w:rsidRPr="007647B4">
        <w:rPr>
          <w:rStyle w:val="FootnoteReference"/>
          <w:rFonts w:asciiTheme="minorHAnsi" w:hAnsiTheme="minorHAnsi" w:cstheme="minorHAnsi"/>
          <w:color w:val="000000" w:themeColor="text1"/>
          <w:sz w:val="22"/>
          <w:szCs w:val="22"/>
        </w:rPr>
        <w:footnoteReference w:id="116"/>
      </w:r>
      <w:r w:rsidRPr="007647B4">
        <w:rPr>
          <w:rFonts w:asciiTheme="minorHAnsi" w:hAnsiTheme="minorHAnsi" w:cstheme="minorHAnsi"/>
          <w:color w:val="000000" w:themeColor="text1"/>
          <w:sz w:val="22"/>
          <w:szCs w:val="22"/>
        </w:rPr>
        <w:t xml:space="preserve"> chemical additives</w:t>
      </w:r>
      <w:r w:rsidR="00E57C16" w:rsidRPr="007647B4">
        <w:rPr>
          <w:rStyle w:val="FootnoteReference"/>
          <w:rFonts w:asciiTheme="minorHAnsi" w:hAnsiTheme="minorHAnsi" w:cstheme="minorHAnsi"/>
          <w:color w:val="000000" w:themeColor="text1"/>
          <w:sz w:val="22"/>
          <w:szCs w:val="22"/>
        </w:rPr>
        <w:footnoteReference w:id="117"/>
      </w:r>
      <w:r w:rsidR="00F82CDC" w:rsidRPr="007647B4">
        <w:rPr>
          <w:rFonts w:asciiTheme="minorHAnsi" w:hAnsiTheme="minorHAnsi" w:cstheme="minorHAnsi"/>
          <w:color w:val="000000" w:themeColor="text1"/>
          <w:sz w:val="22"/>
          <w:szCs w:val="22"/>
          <w:vertAlign w:val="superscript"/>
        </w:rPr>
        <w:t>,</w:t>
      </w:r>
      <w:r w:rsidR="00E57C16" w:rsidRPr="007647B4">
        <w:rPr>
          <w:rStyle w:val="FootnoteReference"/>
          <w:rFonts w:asciiTheme="minorHAnsi" w:hAnsiTheme="minorHAnsi" w:cstheme="minorHAnsi"/>
          <w:color w:val="000000" w:themeColor="text1"/>
          <w:sz w:val="22"/>
          <w:szCs w:val="22"/>
        </w:rPr>
        <w:footnoteReference w:id="118"/>
      </w:r>
      <w:r w:rsidRPr="007647B4">
        <w:rPr>
          <w:rFonts w:asciiTheme="minorHAnsi" w:hAnsiTheme="minorHAnsi" w:cstheme="minorHAnsi"/>
          <w:color w:val="000000" w:themeColor="text1"/>
          <w:sz w:val="22"/>
          <w:szCs w:val="22"/>
        </w:rPr>
        <w:t>dependence</w:t>
      </w:r>
      <w:r w:rsidR="00E57C16" w:rsidRPr="007647B4">
        <w:rPr>
          <w:rStyle w:val="FootnoteReference"/>
          <w:rFonts w:asciiTheme="minorHAnsi" w:hAnsiTheme="minorHAnsi" w:cstheme="minorHAnsi"/>
          <w:color w:val="000000" w:themeColor="text1"/>
          <w:sz w:val="22"/>
          <w:szCs w:val="22"/>
        </w:rPr>
        <w:footnoteReference w:id="119"/>
      </w:r>
      <w:r w:rsidR="006E6CE1" w:rsidRPr="007647B4">
        <w:rPr>
          <w:rFonts w:asciiTheme="minorHAnsi" w:hAnsiTheme="minorHAnsi" w:cstheme="minorHAnsi"/>
          <w:color w:val="000000" w:themeColor="text1"/>
          <w:sz w:val="22"/>
          <w:szCs w:val="22"/>
          <w:vertAlign w:val="superscript"/>
        </w:rPr>
        <w:t>,</w:t>
      </w:r>
      <w:r w:rsidR="00E57C16" w:rsidRPr="007647B4">
        <w:rPr>
          <w:rStyle w:val="FootnoteReference"/>
          <w:rFonts w:asciiTheme="minorHAnsi" w:hAnsiTheme="minorHAnsi" w:cstheme="minorHAnsi"/>
          <w:color w:val="000000" w:themeColor="text1"/>
          <w:sz w:val="22"/>
          <w:szCs w:val="22"/>
        </w:rPr>
        <w:footnoteReference w:id="120"/>
      </w:r>
      <w:r w:rsidRPr="007647B4">
        <w:rPr>
          <w:rFonts w:asciiTheme="minorHAnsi" w:hAnsiTheme="minorHAnsi" w:cstheme="minorHAnsi"/>
          <w:color w:val="000000" w:themeColor="text1"/>
          <w:sz w:val="22"/>
          <w:szCs w:val="22"/>
        </w:rPr>
        <w:t xml:space="preserve"> cardiovascular disease</w:t>
      </w:r>
      <w:r w:rsidR="006E6CE1" w:rsidRPr="007647B4">
        <w:rPr>
          <w:rFonts w:asciiTheme="minorHAnsi" w:hAnsiTheme="minorHAnsi" w:cstheme="minorHAnsi"/>
          <w:color w:val="000000" w:themeColor="text1"/>
          <w:sz w:val="22"/>
          <w:szCs w:val="22"/>
        </w:rPr>
        <w:t>,</w:t>
      </w:r>
      <w:r w:rsidR="00295DBC" w:rsidRPr="007647B4">
        <w:rPr>
          <w:rStyle w:val="FootnoteReference"/>
          <w:rFonts w:asciiTheme="minorHAnsi" w:hAnsiTheme="minorHAnsi" w:cstheme="minorHAnsi"/>
          <w:color w:val="000000" w:themeColor="text1"/>
          <w:sz w:val="22"/>
          <w:szCs w:val="22"/>
        </w:rPr>
        <w:footnoteReference w:id="121"/>
      </w:r>
      <w:r w:rsidR="00F82CDC" w:rsidRPr="007647B4">
        <w:rPr>
          <w:rFonts w:asciiTheme="minorHAnsi" w:hAnsiTheme="minorHAnsi" w:cstheme="minorHAnsi"/>
          <w:color w:val="000000" w:themeColor="text1"/>
          <w:sz w:val="22"/>
          <w:szCs w:val="22"/>
          <w:vertAlign w:val="superscript"/>
        </w:rPr>
        <w:t>,</w:t>
      </w:r>
      <w:r w:rsidR="00295DBC" w:rsidRPr="007647B4">
        <w:rPr>
          <w:rStyle w:val="FootnoteReference"/>
          <w:rFonts w:asciiTheme="minorHAnsi" w:hAnsiTheme="minorHAnsi" w:cstheme="minorHAnsi"/>
          <w:color w:val="000000" w:themeColor="text1"/>
          <w:sz w:val="22"/>
          <w:szCs w:val="22"/>
        </w:rPr>
        <w:footnoteReference w:id="122"/>
      </w:r>
      <w:r w:rsidR="00F82CDC" w:rsidRPr="007647B4">
        <w:rPr>
          <w:rFonts w:asciiTheme="minorHAnsi" w:hAnsiTheme="minorHAnsi" w:cstheme="minorHAnsi"/>
          <w:color w:val="000000" w:themeColor="text1"/>
          <w:sz w:val="22"/>
          <w:szCs w:val="22"/>
          <w:vertAlign w:val="superscript"/>
        </w:rPr>
        <w:t>,</w:t>
      </w:r>
      <w:r w:rsidR="00295DBC" w:rsidRPr="007647B4">
        <w:rPr>
          <w:rStyle w:val="FootnoteReference"/>
          <w:rFonts w:asciiTheme="minorHAnsi" w:hAnsiTheme="minorHAnsi" w:cstheme="minorHAnsi"/>
          <w:color w:val="000000" w:themeColor="text1"/>
          <w:sz w:val="22"/>
          <w:szCs w:val="22"/>
        </w:rPr>
        <w:footnoteReference w:id="123"/>
      </w:r>
      <w:r w:rsidR="00F82CDC" w:rsidRPr="007647B4">
        <w:rPr>
          <w:rFonts w:asciiTheme="minorHAnsi" w:hAnsiTheme="minorHAnsi" w:cstheme="minorHAnsi"/>
          <w:color w:val="000000" w:themeColor="text1"/>
          <w:sz w:val="22"/>
          <w:szCs w:val="22"/>
          <w:vertAlign w:val="superscript"/>
        </w:rPr>
        <w:t>,</w:t>
      </w:r>
      <w:r w:rsidR="00295DBC" w:rsidRPr="007647B4">
        <w:rPr>
          <w:rStyle w:val="FootnoteReference"/>
          <w:rFonts w:asciiTheme="minorHAnsi" w:hAnsiTheme="minorHAnsi" w:cstheme="minorHAnsi"/>
          <w:color w:val="000000" w:themeColor="text1"/>
          <w:sz w:val="22"/>
          <w:szCs w:val="22"/>
        </w:rPr>
        <w:footnoteReference w:id="124"/>
      </w:r>
      <w:r w:rsidRPr="007647B4">
        <w:rPr>
          <w:rFonts w:asciiTheme="minorHAnsi" w:hAnsiTheme="minorHAnsi" w:cstheme="minorHAnsi"/>
          <w:color w:val="000000" w:themeColor="text1"/>
          <w:sz w:val="22"/>
          <w:szCs w:val="22"/>
        </w:rPr>
        <w:t xml:space="preserve"> respiratory disease</w:t>
      </w:r>
      <w:r w:rsidR="00295DBC" w:rsidRPr="007647B4">
        <w:rPr>
          <w:rFonts w:asciiTheme="minorHAnsi" w:hAnsiTheme="minorHAnsi" w:cstheme="minorHAnsi"/>
          <w:color w:val="000000" w:themeColor="text1"/>
          <w:sz w:val="22"/>
          <w:szCs w:val="22"/>
        </w:rPr>
        <w:t>,</w:t>
      </w:r>
      <w:r w:rsidR="00295DBC" w:rsidRPr="007647B4">
        <w:rPr>
          <w:rStyle w:val="FootnoteReference"/>
          <w:rFonts w:asciiTheme="minorHAnsi" w:hAnsiTheme="minorHAnsi" w:cstheme="minorHAnsi"/>
          <w:color w:val="000000" w:themeColor="text1"/>
          <w:sz w:val="22"/>
          <w:szCs w:val="22"/>
        </w:rPr>
        <w:footnoteReference w:id="125"/>
      </w:r>
      <w:r w:rsidRPr="007647B4">
        <w:rPr>
          <w:rFonts w:asciiTheme="minorHAnsi" w:hAnsiTheme="minorHAnsi" w:cstheme="minorHAnsi"/>
          <w:color w:val="000000" w:themeColor="text1"/>
          <w:sz w:val="22"/>
          <w:szCs w:val="22"/>
        </w:rPr>
        <w:t xml:space="preserve"> neurological disease</w:t>
      </w:r>
      <w:r w:rsidR="00295DBC" w:rsidRPr="007647B4">
        <w:rPr>
          <w:rFonts w:asciiTheme="minorHAnsi" w:hAnsiTheme="minorHAnsi" w:cstheme="minorHAnsi"/>
          <w:color w:val="000000" w:themeColor="text1"/>
          <w:sz w:val="22"/>
          <w:szCs w:val="22"/>
        </w:rPr>
        <w:t>,</w:t>
      </w:r>
      <w:r w:rsidR="00295DBC" w:rsidRPr="007647B4">
        <w:rPr>
          <w:rStyle w:val="FootnoteReference"/>
          <w:rFonts w:asciiTheme="minorHAnsi" w:hAnsiTheme="minorHAnsi" w:cstheme="minorHAnsi"/>
          <w:color w:val="000000" w:themeColor="text1"/>
          <w:sz w:val="22"/>
          <w:szCs w:val="22"/>
        </w:rPr>
        <w:footnoteReference w:id="126"/>
      </w:r>
      <w:r w:rsidRPr="007647B4">
        <w:rPr>
          <w:rFonts w:asciiTheme="minorHAnsi" w:hAnsiTheme="minorHAnsi" w:cstheme="minorHAnsi"/>
          <w:color w:val="000000" w:themeColor="text1"/>
          <w:sz w:val="22"/>
          <w:szCs w:val="22"/>
        </w:rPr>
        <w:t xml:space="preserve"> and cancer</w:t>
      </w:r>
      <w:r w:rsidR="00295DBC" w:rsidRPr="007647B4">
        <w:rPr>
          <w:rStyle w:val="FootnoteReference"/>
          <w:rFonts w:asciiTheme="minorHAnsi" w:hAnsiTheme="minorHAnsi" w:cstheme="minorHAnsi"/>
          <w:color w:val="000000" w:themeColor="text1"/>
          <w:sz w:val="22"/>
          <w:szCs w:val="22"/>
        </w:rPr>
        <w:footnoteReference w:id="127"/>
      </w:r>
      <w:r w:rsidR="00F82CDC" w:rsidRPr="007647B4">
        <w:rPr>
          <w:rFonts w:asciiTheme="minorHAnsi" w:hAnsiTheme="minorHAnsi" w:cstheme="minorHAnsi"/>
          <w:color w:val="000000" w:themeColor="text1"/>
          <w:sz w:val="22"/>
          <w:szCs w:val="22"/>
          <w:vertAlign w:val="superscript"/>
        </w:rPr>
        <w:t>,</w:t>
      </w:r>
      <w:r w:rsidR="00295DBC" w:rsidRPr="007647B4">
        <w:rPr>
          <w:rStyle w:val="FootnoteReference"/>
          <w:rFonts w:asciiTheme="minorHAnsi" w:hAnsiTheme="minorHAnsi" w:cstheme="minorHAnsi"/>
          <w:color w:val="000000" w:themeColor="text1"/>
          <w:sz w:val="22"/>
          <w:szCs w:val="22"/>
        </w:rPr>
        <w:footnoteReference w:id="128"/>
      </w:r>
      <w:r w:rsidR="00295DBC"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based on product type.</w:t>
      </w:r>
    </w:p>
    <w:p w14:paraId="259A6350" w14:textId="4FEED4A1" w:rsidR="00CB1EF0" w:rsidRPr="007647B4" w:rsidRDefault="00CB1EF0" w:rsidP="003B2510">
      <w:pPr>
        <w:jc w:val="both"/>
        <w:rPr>
          <w:rFonts w:asciiTheme="minorHAnsi" w:hAnsiTheme="minorHAnsi" w:cstheme="minorHAnsi"/>
          <w:b/>
          <w:color w:val="000000" w:themeColor="text1"/>
          <w:sz w:val="22"/>
          <w:szCs w:val="22"/>
        </w:rPr>
      </w:pPr>
    </w:p>
    <w:p w14:paraId="59CC4CC9" w14:textId="11922AFF" w:rsidR="00CB1EF0" w:rsidRPr="007647B4" w:rsidRDefault="00CB1EF0"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Text-only labels, as currently used for tobacco in the US, </w:t>
      </w:r>
      <w:r w:rsidR="009E43E5" w:rsidRPr="007647B4">
        <w:rPr>
          <w:rFonts w:asciiTheme="minorHAnsi" w:hAnsiTheme="minorHAnsi" w:cstheme="minorHAnsi"/>
          <w:color w:val="000000" w:themeColor="text1"/>
          <w:sz w:val="22"/>
          <w:szCs w:val="22"/>
        </w:rPr>
        <w:t xml:space="preserve">and proposed by CDPH, </w:t>
      </w:r>
      <w:r w:rsidRPr="007647B4">
        <w:rPr>
          <w:rFonts w:asciiTheme="minorHAnsi" w:hAnsiTheme="minorHAnsi" w:cstheme="minorHAnsi"/>
          <w:color w:val="000000" w:themeColor="text1"/>
          <w:sz w:val="22"/>
          <w:szCs w:val="22"/>
        </w:rPr>
        <w:t xml:space="preserve">are poorly recalled and have </w:t>
      </w:r>
      <w:r w:rsidR="009E43E5" w:rsidRPr="007647B4">
        <w:rPr>
          <w:rFonts w:asciiTheme="minorHAnsi" w:hAnsiTheme="minorHAnsi" w:cstheme="minorHAnsi"/>
          <w:color w:val="000000" w:themeColor="text1"/>
          <w:sz w:val="22"/>
          <w:szCs w:val="22"/>
        </w:rPr>
        <w:t>less</w:t>
      </w:r>
      <w:r w:rsidR="00DA6B6F"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impact on use</w:t>
      </w:r>
      <w:r w:rsidR="00295DBC" w:rsidRPr="007647B4">
        <w:rPr>
          <w:rFonts w:asciiTheme="minorHAnsi" w:hAnsiTheme="minorHAnsi" w:cstheme="minorHAnsi"/>
          <w:color w:val="000000" w:themeColor="text1"/>
          <w:sz w:val="22"/>
          <w:szCs w:val="22"/>
        </w:rPr>
        <w:t>.</w:t>
      </w:r>
      <w:r w:rsidR="00295DBC" w:rsidRPr="007647B4">
        <w:rPr>
          <w:rStyle w:val="FootnoteReference"/>
          <w:rFonts w:asciiTheme="minorHAnsi" w:hAnsiTheme="minorHAnsi" w:cstheme="minorHAnsi"/>
          <w:color w:val="000000" w:themeColor="text1"/>
          <w:sz w:val="22"/>
          <w:szCs w:val="22"/>
        </w:rPr>
        <w:footnoteReference w:id="129"/>
      </w:r>
      <w:r w:rsidR="00DA6B6F"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b/>
          <w:color w:val="000000" w:themeColor="text1"/>
          <w:sz w:val="22"/>
          <w:szCs w:val="22"/>
        </w:rPr>
        <w:t xml:space="preserve">Pictorial health warnings are more impactful and informative </w:t>
      </w:r>
      <w:r w:rsidR="002F3B3D" w:rsidRPr="007647B4">
        <w:rPr>
          <w:rStyle w:val="FootnoteReference"/>
          <w:rFonts w:asciiTheme="minorHAnsi" w:hAnsiTheme="minorHAnsi" w:cstheme="minorHAnsi"/>
          <w:b/>
          <w:color w:val="000000" w:themeColor="text1"/>
          <w:sz w:val="22"/>
          <w:szCs w:val="22"/>
        </w:rPr>
        <w:footnoteReference w:id="130"/>
      </w:r>
      <w:r w:rsidR="002F3B3D" w:rsidRPr="007647B4">
        <w:rPr>
          <w:rFonts w:asciiTheme="minorHAnsi" w:hAnsiTheme="minorHAnsi" w:cstheme="minorHAnsi"/>
          <w:b/>
          <w:color w:val="000000" w:themeColor="text1"/>
          <w:sz w:val="22"/>
          <w:szCs w:val="22"/>
          <w:vertAlign w:val="superscript"/>
        </w:rPr>
        <w:t>,</w:t>
      </w:r>
      <w:r w:rsidR="00295DBC" w:rsidRPr="007647B4">
        <w:rPr>
          <w:rStyle w:val="FootnoteReference"/>
          <w:rFonts w:asciiTheme="minorHAnsi" w:hAnsiTheme="minorHAnsi" w:cstheme="minorHAnsi"/>
          <w:b/>
          <w:color w:val="000000" w:themeColor="text1"/>
          <w:sz w:val="22"/>
          <w:szCs w:val="22"/>
        </w:rPr>
        <w:footnoteReference w:id="131"/>
      </w:r>
      <w:r w:rsidR="002F3B3D" w:rsidRPr="007647B4">
        <w:rPr>
          <w:rFonts w:asciiTheme="minorHAnsi" w:hAnsiTheme="minorHAnsi" w:cstheme="minorHAnsi"/>
          <w:b/>
          <w:color w:val="000000" w:themeColor="text1"/>
          <w:sz w:val="22"/>
          <w:szCs w:val="22"/>
          <w:vertAlign w:val="superscript"/>
        </w:rPr>
        <w:t>,</w:t>
      </w:r>
      <w:r w:rsidR="00295DBC" w:rsidRPr="007647B4">
        <w:rPr>
          <w:rStyle w:val="FootnoteReference"/>
          <w:rFonts w:asciiTheme="minorHAnsi" w:hAnsiTheme="minorHAnsi" w:cstheme="minorHAnsi"/>
          <w:b/>
          <w:color w:val="000000" w:themeColor="text1"/>
          <w:sz w:val="22"/>
          <w:szCs w:val="22"/>
        </w:rPr>
        <w:footnoteReference w:id="132"/>
      </w:r>
      <w:r w:rsidRPr="007647B4">
        <w:rPr>
          <w:rFonts w:asciiTheme="minorHAnsi" w:hAnsiTheme="minorHAnsi" w:cstheme="minorHAnsi"/>
          <w:b/>
          <w:color w:val="000000" w:themeColor="text1"/>
          <w:sz w:val="22"/>
          <w:szCs w:val="22"/>
        </w:rPr>
        <w:t xml:space="preserve"> and decrease product attractiveness to youth</w:t>
      </w:r>
      <w:r w:rsidR="00295DBC" w:rsidRPr="007647B4">
        <w:rPr>
          <w:rFonts w:asciiTheme="minorHAnsi" w:hAnsiTheme="minorHAnsi" w:cstheme="minorHAnsi"/>
          <w:b/>
          <w:color w:val="000000" w:themeColor="text1"/>
          <w:sz w:val="22"/>
          <w:szCs w:val="22"/>
        </w:rPr>
        <w:t>.</w:t>
      </w:r>
      <w:r w:rsidR="00295DBC" w:rsidRPr="007647B4">
        <w:rPr>
          <w:rStyle w:val="FootnoteReference"/>
          <w:rFonts w:asciiTheme="minorHAnsi" w:hAnsiTheme="minorHAnsi" w:cstheme="minorHAnsi"/>
          <w:b/>
          <w:color w:val="000000" w:themeColor="text1"/>
          <w:sz w:val="22"/>
          <w:szCs w:val="22"/>
        </w:rPr>
        <w:footnoteReference w:id="133"/>
      </w:r>
      <w:r w:rsidR="002F3B3D" w:rsidRPr="007647B4">
        <w:rPr>
          <w:rFonts w:asciiTheme="minorHAnsi" w:hAnsiTheme="minorHAnsi" w:cstheme="minorHAnsi"/>
          <w:b/>
          <w:color w:val="000000" w:themeColor="text1"/>
          <w:sz w:val="22"/>
          <w:szCs w:val="22"/>
          <w:vertAlign w:val="superscript"/>
        </w:rPr>
        <w:t>,</w:t>
      </w:r>
      <w:r w:rsidR="00295DBC" w:rsidRPr="007647B4">
        <w:rPr>
          <w:rStyle w:val="FootnoteReference"/>
          <w:rFonts w:asciiTheme="minorHAnsi" w:hAnsiTheme="minorHAnsi" w:cstheme="minorHAnsi"/>
          <w:b/>
          <w:color w:val="000000" w:themeColor="text1"/>
          <w:sz w:val="22"/>
          <w:szCs w:val="22"/>
        </w:rPr>
        <w:footnoteReference w:id="134"/>
      </w:r>
      <w:r w:rsidRPr="007647B4">
        <w:rPr>
          <w:rFonts w:asciiTheme="minorHAnsi" w:hAnsiTheme="minorHAnsi" w:cstheme="minorHAnsi"/>
          <w:b/>
          <w:color w:val="000000" w:themeColor="text1"/>
          <w:sz w:val="22"/>
          <w:szCs w:val="22"/>
        </w:rPr>
        <w:t xml:space="preserve"> Pictorial warnings are also more likely to be seen by </w:t>
      </w:r>
      <w:r w:rsidRPr="007647B4">
        <w:rPr>
          <w:rFonts w:asciiTheme="minorHAnsi" w:hAnsiTheme="minorHAnsi" w:cstheme="minorHAnsi"/>
          <w:b/>
          <w:color w:val="000000" w:themeColor="text1"/>
          <w:sz w:val="22"/>
          <w:szCs w:val="22"/>
        </w:rPr>
        <w:lastRenderedPageBreak/>
        <w:t>low-literacy adults and children and to reach those who cannot read the language used for text</w:t>
      </w:r>
      <w:r w:rsidR="002B10E7" w:rsidRPr="007647B4">
        <w:rPr>
          <w:rFonts w:asciiTheme="minorHAnsi" w:hAnsiTheme="minorHAnsi" w:cstheme="minorHAnsi"/>
          <w:b/>
          <w:color w:val="000000" w:themeColor="text1"/>
          <w:sz w:val="22"/>
          <w:szCs w:val="22"/>
        </w:rPr>
        <w:t>.</w:t>
      </w:r>
      <w:r w:rsidR="002B10E7" w:rsidRPr="007647B4">
        <w:rPr>
          <w:rStyle w:val="FootnoteReference"/>
          <w:rFonts w:asciiTheme="minorHAnsi" w:hAnsiTheme="minorHAnsi" w:cstheme="minorHAnsi"/>
          <w:color w:val="000000" w:themeColor="text1"/>
          <w:sz w:val="22"/>
          <w:szCs w:val="22"/>
        </w:rPr>
        <w:footnoteReference w:id="135"/>
      </w:r>
      <w:r w:rsidRPr="007647B4">
        <w:rPr>
          <w:rFonts w:asciiTheme="minorHAnsi" w:hAnsiTheme="minorHAnsi" w:cstheme="minorHAnsi"/>
          <w:color w:val="000000" w:themeColor="text1"/>
          <w:sz w:val="22"/>
          <w:szCs w:val="22"/>
        </w:rPr>
        <w:t xml:space="preserve"> Based on their effectiveness for tobacco, pictorial warnings are likely to improve the impact and effectiveness of cannabis warning labels. </w:t>
      </w:r>
    </w:p>
    <w:p w14:paraId="3FA09E9B" w14:textId="77777777" w:rsidR="002B10E7" w:rsidRPr="007647B4" w:rsidRDefault="002B10E7" w:rsidP="003B2510">
      <w:pPr>
        <w:jc w:val="both"/>
        <w:rPr>
          <w:rFonts w:asciiTheme="minorHAnsi" w:hAnsiTheme="minorHAnsi" w:cstheme="minorHAnsi"/>
          <w:b/>
          <w:color w:val="000000" w:themeColor="text1"/>
          <w:sz w:val="22"/>
          <w:szCs w:val="22"/>
        </w:rPr>
      </w:pPr>
    </w:p>
    <w:p w14:paraId="30BD0C21" w14:textId="0E088ADC" w:rsidR="00CB1EF0" w:rsidRPr="007647B4" w:rsidRDefault="00932F13" w:rsidP="003B2510">
      <w:pPr>
        <w:jc w:val="both"/>
        <w:rPr>
          <w:rFonts w:asciiTheme="minorHAnsi" w:hAnsiTheme="minorHAnsi" w:cstheme="minorHAnsi"/>
          <w:color w:val="000000" w:themeColor="text1"/>
          <w:sz w:val="22"/>
          <w:szCs w:val="22"/>
        </w:rPr>
      </w:pPr>
      <w:r w:rsidRPr="007647B4">
        <w:rPr>
          <w:rFonts w:asciiTheme="minorHAnsi" w:hAnsiTheme="minorHAnsi" w:cstheme="minorHAnsi"/>
          <w:b/>
          <w:color w:val="000000" w:themeColor="text1"/>
          <w:sz w:val="22"/>
          <w:szCs w:val="22"/>
        </w:rPr>
        <w:t>7</w:t>
      </w:r>
      <w:r w:rsidR="002B10E7" w:rsidRPr="007647B4">
        <w:rPr>
          <w:rFonts w:asciiTheme="minorHAnsi" w:hAnsiTheme="minorHAnsi" w:cstheme="minorHAnsi"/>
          <w:b/>
          <w:color w:val="000000" w:themeColor="text1"/>
          <w:sz w:val="22"/>
          <w:szCs w:val="22"/>
        </w:rPr>
        <w:t>.</w:t>
      </w:r>
      <w:r w:rsidR="00CB1EF0" w:rsidRPr="007647B4">
        <w:rPr>
          <w:rFonts w:asciiTheme="minorHAnsi" w:hAnsiTheme="minorHAnsi" w:cstheme="minorHAnsi"/>
          <w:color w:val="000000" w:themeColor="text1"/>
          <w:sz w:val="22"/>
          <w:szCs w:val="22"/>
        </w:rPr>
        <w:t xml:space="preserve"> </w:t>
      </w:r>
      <w:r w:rsidR="00CB1EF0" w:rsidRPr="007647B4">
        <w:rPr>
          <w:rFonts w:asciiTheme="minorHAnsi" w:hAnsiTheme="minorHAnsi" w:cstheme="minorHAnsi"/>
          <w:b/>
          <w:color w:val="000000" w:themeColor="text1"/>
          <w:sz w:val="22"/>
          <w:szCs w:val="22"/>
        </w:rPr>
        <w:t xml:space="preserve">Adopt a </w:t>
      </w:r>
      <w:r w:rsidR="002B10E7" w:rsidRPr="007647B4">
        <w:rPr>
          <w:rFonts w:asciiTheme="minorHAnsi" w:hAnsiTheme="minorHAnsi" w:cstheme="minorHAnsi"/>
          <w:b/>
          <w:color w:val="000000" w:themeColor="text1"/>
          <w:sz w:val="22"/>
          <w:szCs w:val="22"/>
        </w:rPr>
        <w:t>H</w:t>
      </w:r>
      <w:r w:rsidR="00CB1EF0" w:rsidRPr="007647B4">
        <w:rPr>
          <w:rFonts w:asciiTheme="minorHAnsi" w:hAnsiTheme="minorHAnsi" w:cstheme="minorHAnsi"/>
          <w:b/>
          <w:color w:val="000000" w:themeColor="text1"/>
          <w:sz w:val="22"/>
          <w:szCs w:val="22"/>
        </w:rPr>
        <w:t xml:space="preserve">ighly </w:t>
      </w:r>
      <w:r w:rsidR="002B10E7" w:rsidRPr="007647B4">
        <w:rPr>
          <w:rFonts w:asciiTheme="minorHAnsi" w:hAnsiTheme="minorHAnsi" w:cstheme="minorHAnsi"/>
          <w:b/>
          <w:color w:val="000000" w:themeColor="text1"/>
          <w:sz w:val="22"/>
          <w:szCs w:val="22"/>
        </w:rPr>
        <w:t>V</w:t>
      </w:r>
      <w:r w:rsidR="00CB1EF0" w:rsidRPr="007647B4">
        <w:rPr>
          <w:rFonts w:asciiTheme="minorHAnsi" w:hAnsiTheme="minorHAnsi" w:cstheme="minorHAnsi"/>
          <w:b/>
          <w:color w:val="000000" w:themeColor="text1"/>
          <w:sz w:val="22"/>
          <w:szCs w:val="22"/>
        </w:rPr>
        <w:t xml:space="preserve">isible and </w:t>
      </w:r>
      <w:r w:rsidR="002B10E7" w:rsidRPr="007647B4">
        <w:rPr>
          <w:rFonts w:asciiTheme="minorHAnsi" w:hAnsiTheme="minorHAnsi" w:cstheme="minorHAnsi"/>
          <w:b/>
          <w:color w:val="000000" w:themeColor="text1"/>
          <w:sz w:val="22"/>
          <w:szCs w:val="22"/>
        </w:rPr>
        <w:t>S</w:t>
      </w:r>
      <w:r w:rsidR="00CB1EF0" w:rsidRPr="007647B4">
        <w:rPr>
          <w:rFonts w:asciiTheme="minorHAnsi" w:hAnsiTheme="minorHAnsi" w:cstheme="minorHAnsi"/>
          <w:b/>
          <w:color w:val="000000" w:themeColor="text1"/>
          <w:sz w:val="22"/>
          <w:szCs w:val="22"/>
        </w:rPr>
        <w:t xml:space="preserve">alient </w:t>
      </w:r>
      <w:r w:rsidR="002B10E7" w:rsidRPr="007647B4">
        <w:rPr>
          <w:rFonts w:asciiTheme="minorHAnsi" w:hAnsiTheme="minorHAnsi" w:cstheme="minorHAnsi"/>
          <w:b/>
          <w:color w:val="000000" w:themeColor="text1"/>
          <w:sz w:val="22"/>
          <w:szCs w:val="22"/>
        </w:rPr>
        <w:t>C</w:t>
      </w:r>
      <w:r w:rsidR="00CB1EF0" w:rsidRPr="007647B4">
        <w:rPr>
          <w:rFonts w:asciiTheme="minorHAnsi" w:hAnsiTheme="minorHAnsi" w:cstheme="minorHAnsi"/>
          <w:b/>
          <w:color w:val="000000" w:themeColor="text1"/>
          <w:sz w:val="22"/>
          <w:szCs w:val="22"/>
        </w:rPr>
        <w:t xml:space="preserve">annabis </w:t>
      </w:r>
      <w:r w:rsidR="002B10E7" w:rsidRPr="007647B4">
        <w:rPr>
          <w:rFonts w:asciiTheme="minorHAnsi" w:hAnsiTheme="minorHAnsi" w:cstheme="minorHAnsi"/>
          <w:b/>
          <w:color w:val="000000" w:themeColor="text1"/>
          <w:sz w:val="22"/>
          <w:szCs w:val="22"/>
        </w:rPr>
        <w:t>P</w:t>
      </w:r>
      <w:r w:rsidR="00CB1EF0" w:rsidRPr="007647B4">
        <w:rPr>
          <w:rFonts w:asciiTheme="minorHAnsi" w:hAnsiTheme="minorHAnsi" w:cstheme="minorHAnsi"/>
          <w:b/>
          <w:color w:val="000000" w:themeColor="text1"/>
          <w:sz w:val="22"/>
          <w:szCs w:val="22"/>
        </w:rPr>
        <w:t xml:space="preserve">roduct </w:t>
      </w:r>
      <w:r w:rsidR="002B10E7" w:rsidRPr="007647B4">
        <w:rPr>
          <w:rFonts w:asciiTheme="minorHAnsi" w:hAnsiTheme="minorHAnsi" w:cstheme="minorHAnsi"/>
          <w:b/>
          <w:color w:val="000000" w:themeColor="text1"/>
          <w:sz w:val="22"/>
          <w:szCs w:val="22"/>
        </w:rPr>
        <w:t>S</w:t>
      </w:r>
      <w:r w:rsidR="00CB1EF0" w:rsidRPr="007647B4">
        <w:rPr>
          <w:rFonts w:asciiTheme="minorHAnsi" w:hAnsiTheme="minorHAnsi" w:cstheme="minorHAnsi"/>
          <w:b/>
          <w:color w:val="000000" w:themeColor="text1"/>
          <w:sz w:val="22"/>
          <w:szCs w:val="22"/>
        </w:rPr>
        <w:t>ymbol (§ 40412)</w:t>
      </w:r>
    </w:p>
    <w:p w14:paraId="6514C278" w14:textId="19B5BEE3" w:rsidR="00CB1EF0" w:rsidRPr="007647B4" w:rsidRDefault="00CB1EF0" w:rsidP="003B2510">
      <w:pPr>
        <w:jc w:val="both"/>
        <w:rPr>
          <w:rFonts w:asciiTheme="minorHAnsi" w:hAnsiTheme="minorHAnsi" w:cstheme="minorHAnsi"/>
          <w:b/>
          <w:color w:val="000000" w:themeColor="text1"/>
          <w:sz w:val="22"/>
          <w:szCs w:val="22"/>
        </w:rPr>
      </w:pPr>
    </w:p>
    <w:p w14:paraId="2370F4BA" w14:textId="2F8826B8" w:rsidR="003E420C" w:rsidRPr="007647B4" w:rsidRDefault="00CB1EF0"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The proposed regulations (§ 40412(a)) require a warning symbol denoting the presence of cannabis. Tobacco companies’ research on packaging color and consumer perceptions indicates that black is most visually prominent, particularly black text on a lighter background</w:t>
      </w:r>
      <w:r w:rsidR="002B10E7" w:rsidRPr="007647B4">
        <w:rPr>
          <w:rFonts w:asciiTheme="minorHAnsi" w:hAnsiTheme="minorHAnsi" w:cstheme="minorHAnsi"/>
          <w:color w:val="000000" w:themeColor="text1"/>
          <w:sz w:val="22"/>
          <w:szCs w:val="22"/>
        </w:rPr>
        <w:t>.</w:t>
      </w:r>
      <w:r w:rsidR="002B10E7" w:rsidRPr="007647B4">
        <w:rPr>
          <w:rStyle w:val="FootnoteReference"/>
          <w:rFonts w:asciiTheme="minorHAnsi" w:hAnsiTheme="minorHAnsi" w:cstheme="minorHAnsi"/>
          <w:color w:val="000000" w:themeColor="text1"/>
          <w:sz w:val="22"/>
          <w:szCs w:val="22"/>
        </w:rPr>
        <w:footnoteReference w:id="136"/>
      </w:r>
      <w:r w:rsidR="006E6CE1"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The color required under the proposed regulations appears to be black text on white background based on the document available on the Department’s website. Yellow is more effective for quickly gaining and keeping attention, is perceived as less attractive, and signals a warning, especially paired with black text as in road sign warnings</w:t>
      </w:r>
      <w:r w:rsidR="002B10E7" w:rsidRPr="007647B4">
        <w:rPr>
          <w:rFonts w:asciiTheme="minorHAnsi" w:hAnsiTheme="minorHAnsi" w:cstheme="minorHAnsi"/>
          <w:color w:val="000000" w:themeColor="text1"/>
          <w:sz w:val="22"/>
          <w:szCs w:val="22"/>
        </w:rPr>
        <w:t>.</w:t>
      </w:r>
      <w:r w:rsidR="002B10E7" w:rsidRPr="007647B4">
        <w:rPr>
          <w:rStyle w:val="FootnoteReference"/>
          <w:rFonts w:asciiTheme="minorHAnsi" w:hAnsiTheme="minorHAnsi" w:cstheme="minorHAnsi"/>
          <w:color w:val="000000" w:themeColor="text1"/>
          <w:sz w:val="22"/>
          <w:szCs w:val="22"/>
        </w:rPr>
        <w:footnoteReference w:id="137"/>
      </w:r>
      <w:r w:rsidRPr="007647B4">
        <w:rPr>
          <w:rFonts w:asciiTheme="minorHAnsi" w:hAnsiTheme="minorHAnsi" w:cstheme="minorHAnsi"/>
          <w:color w:val="000000" w:themeColor="text1"/>
          <w:sz w:val="22"/>
          <w:szCs w:val="22"/>
        </w:rPr>
        <w:t xml:space="preserve"> A warning symbol using black text and yellow background that emulates road warning style and shape</w:t>
      </w:r>
      <w:r w:rsidR="002B10E7" w:rsidRPr="007647B4">
        <w:rPr>
          <w:rFonts w:asciiTheme="minorHAnsi" w:hAnsiTheme="minorHAnsi" w:cstheme="minorHAnsi"/>
          <w:color w:val="000000" w:themeColor="text1"/>
          <w:sz w:val="22"/>
          <w:szCs w:val="22"/>
        </w:rPr>
        <w:t>,</w:t>
      </w:r>
      <w:r w:rsidR="002B10E7" w:rsidRPr="007647B4">
        <w:rPr>
          <w:rStyle w:val="FootnoteReference"/>
          <w:rFonts w:asciiTheme="minorHAnsi" w:hAnsiTheme="minorHAnsi" w:cstheme="minorHAnsi"/>
          <w:color w:val="000000" w:themeColor="text1"/>
          <w:sz w:val="22"/>
          <w:szCs w:val="22"/>
        </w:rPr>
        <w:footnoteReference w:id="138"/>
      </w:r>
      <w:r w:rsidRPr="007647B4">
        <w:rPr>
          <w:rFonts w:asciiTheme="minorHAnsi" w:hAnsiTheme="minorHAnsi" w:cstheme="minorHAnsi"/>
          <w:color w:val="000000" w:themeColor="text1"/>
          <w:sz w:val="22"/>
          <w:szCs w:val="22"/>
        </w:rPr>
        <w:t xml:space="preserve"> as the option illustrate</w:t>
      </w:r>
      <w:r w:rsidR="006E6CE1" w:rsidRPr="007647B4">
        <w:rPr>
          <w:rFonts w:asciiTheme="minorHAnsi" w:hAnsiTheme="minorHAnsi" w:cstheme="minorHAnsi"/>
          <w:color w:val="000000" w:themeColor="text1"/>
          <w:sz w:val="22"/>
          <w:szCs w:val="22"/>
        </w:rPr>
        <w:t>s</w:t>
      </w:r>
      <w:r w:rsidRPr="007647B4">
        <w:rPr>
          <w:rFonts w:asciiTheme="minorHAnsi" w:hAnsiTheme="minorHAnsi" w:cstheme="minorHAnsi"/>
          <w:color w:val="000000" w:themeColor="text1"/>
          <w:sz w:val="22"/>
          <w:szCs w:val="22"/>
        </w:rPr>
        <w:t xml:space="preserve"> below, would more effectively attract and maintain consumer attention. We do concur that </w:t>
      </w:r>
      <w:r w:rsidR="006E6CE1" w:rsidRPr="007647B4">
        <w:rPr>
          <w:rFonts w:asciiTheme="minorHAnsi" w:hAnsiTheme="minorHAnsi" w:cstheme="minorHAnsi"/>
          <w:color w:val="000000" w:themeColor="text1"/>
          <w:sz w:val="22"/>
          <w:szCs w:val="22"/>
        </w:rPr>
        <w:t xml:space="preserve">a </w:t>
      </w:r>
      <w:r w:rsidRPr="007647B4">
        <w:rPr>
          <w:rFonts w:asciiTheme="minorHAnsi" w:hAnsiTheme="minorHAnsi" w:cstheme="minorHAnsi"/>
          <w:color w:val="000000" w:themeColor="text1"/>
          <w:sz w:val="22"/>
          <w:szCs w:val="22"/>
        </w:rPr>
        <w:t xml:space="preserve">cannabis leaf may be more informative and widely recognized than the highly technical term “THC.” </w:t>
      </w:r>
    </w:p>
    <w:p w14:paraId="202762ED" w14:textId="77777777" w:rsidR="00DC723F" w:rsidRPr="007647B4" w:rsidRDefault="00DC723F" w:rsidP="003B2510">
      <w:pPr>
        <w:jc w:val="both"/>
        <w:rPr>
          <w:rFonts w:asciiTheme="minorHAnsi" w:hAnsiTheme="minorHAnsi" w:cstheme="minorHAnsi"/>
          <w:color w:val="000000" w:themeColor="text1"/>
          <w:sz w:val="22"/>
          <w:szCs w:val="22"/>
        </w:rPr>
      </w:pPr>
    </w:p>
    <w:p w14:paraId="432C70A0" w14:textId="0DCC90A5" w:rsidR="003E420C" w:rsidRPr="007647B4" w:rsidRDefault="003E420C" w:rsidP="003B2510">
      <w:pPr>
        <w:jc w:val="both"/>
        <w:rPr>
          <w:rFonts w:asciiTheme="minorHAnsi" w:hAnsiTheme="minorHAnsi" w:cstheme="minorHAnsi"/>
          <w:color w:val="000000" w:themeColor="text1"/>
          <w:sz w:val="22"/>
          <w:szCs w:val="22"/>
        </w:rPr>
      </w:pPr>
      <w:r w:rsidRPr="007647B4">
        <w:rPr>
          <w:rFonts w:asciiTheme="minorHAnsi" w:hAnsiTheme="minorHAnsi" w:cstheme="minorHAnsi"/>
          <w:noProof/>
          <w:color w:val="000000" w:themeColor="text1"/>
          <w:sz w:val="22"/>
          <w:szCs w:val="22"/>
        </w:rPr>
        <w:drawing>
          <wp:inline distT="0" distB="0" distL="0" distR="0" wp14:anchorId="7BD5B386" wp14:editId="070F5B63">
            <wp:extent cx="1397000" cy="101426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8-14 at 8.24.26 AM.png"/>
                    <pic:cNvPicPr/>
                  </pic:nvPicPr>
                  <pic:blipFill>
                    <a:blip r:embed="rId12">
                      <a:extLst>
                        <a:ext uri="{28A0092B-C50C-407E-A947-70E740481C1C}">
                          <a14:useLocalDpi xmlns:a14="http://schemas.microsoft.com/office/drawing/2010/main" val="0"/>
                        </a:ext>
                      </a:extLst>
                    </a:blip>
                    <a:stretch>
                      <a:fillRect/>
                    </a:stretch>
                  </pic:blipFill>
                  <pic:spPr>
                    <a:xfrm>
                      <a:off x="0" y="0"/>
                      <a:ext cx="1408904" cy="1022902"/>
                    </a:xfrm>
                    <a:prstGeom prst="rect">
                      <a:avLst/>
                    </a:prstGeom>
                  </pic:spPr>
                </pic:pic>
              </a:graphicData>
            </a:graphic>
          </wp:inline>
        </w:drawing>
      </w:r>
    </w:p>
    <w:p w14:paraId="199CED0F" w14:textId="343F24CD" w:rsidR="00CB1EF0" w:rsidRPr="007647B4" w:rsidRDefault="00CB1EF0" w:rsidP="003B2510">
      <w:pPr>
        <w:jc w:val="both"/>
        <w:rPr>
          <w:rFonts w:asciiTheme="minorHAnsi" w:hAnsiTheme="minorHAnsi" w:cstheme="minorHAnsi"/>
          <w:color w:val="000000" w:themeColor="text1"/>
          <w:sz w:val="22"/>
          <w:szCs w:val="22"/>
        </w:rPr>
      </w:pPr>
    </w:p>
    <w:p w14:paraId="658BB4E3" w14:textId="77777777" w:rsidR="00CB1EF0" w:rsidRPr="007647B4" w:rsidRDefault="00CB1EF0"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The proposed regulations (§ 40412(b)) require the symbol be at least ½ inch by ½ inch and “printed legibly and conspicuously.” Likely packaging variation among cannabis products supports also mandating coverage of a minimum percentage of the product’s primary panel to prevent companies from using large package size, colors, or other markings to render the symbol ineffective. The symbol should be incorporated into warnings covering at least 30% and ideally more than 50% of the principal display area. We recommend that the Department implement this requirement immediately but also carry out the appropriate research to assess what shapes, colors and messages best transmit the information for the future. </w:t>
      </w:r>
    </w:p>
    <w:p w14:paraId="7573A9D5" w14:textId="3BA75BA1" w:rsidR="00CB1EF0" w:rsidRPr="007647B4" w:rsidRDefault="00CB1EF0" w:rsidP="003B2510">
      <w:pPr>
        <w:jc w:val="both"/>
        <w:rPr>
          <w:rFonts w:asciiTheme="minorHAnsi" w:hAnsiTheme="minorHAnsi" w:cstheme="minorHAnsi"/>
          <w:color w:val="000000" w:themeColor="text1"/>
          <w:sz w:val="22"/>
          <w:szCs w:val="22"/>
        </w:rPr>
      </w:pPr>
    </w:p>
    <w:p w14:paraId="1BD0FFD1" w14:textId="2C370F94" w:rsidR="00CB1EF0" w:rsidRPr="007647B4" w:rsidRDefault="00932F13" w:rsidP="003B2510">
      <w:pPr>
        <w:jc w:val="both"/>
        <w:rPr>
          <w:rFonts w:asciiTheme="minorHAnsi" w:hAnsiTheme="minorHAnsi" w:cstheme="minorHAnsi"/>
          <w:b/>
          <w:color w:val="000000" w:themeColor="text1"/>
          <w:sz w:val="22"/>
          <w:szCs w:val="22"/>
        </w:rPr>
      </w:pPr>
      <w:r w:rsidRPr="007647B4">
        <w:rPr>
          <w:rFonts w:asciiTheme="minorHAnsi" w:hAnsiTheme="minorHAnsi" w:cstheme="minorHAnsi"/>
          <w:b/>
          <w:color w:val="000000" w:themeColor="text1"/>
          <w:sz w:val="22"/>
          <w:szCs w:val="22"/>
        </w:rPr>
        <w:t>8</w:t>
      </w:r>
      <w:r w:rsidR="00CB1EF0" w:rsidRPr="007647B4">
        <w:rPr>
          <w:rFonts w:asciiTheme="minorHAnsi" w:hAnsiTheme="minorHAnsi" w:cstheme="minorHAnsi"/>
          <w:b/>
          <w:color w:val="000000" w:themeColor="text1"/>
          <w:sz w:val="22"/>
          <w:szCs w:val="22"/>
        </w:rPr>
        <w:t xml:space="preserve">. Require </w:t>
      </w:r>
      <w:r w:rsidR="00F82CDC" w:rsidRPr="007647B4">
        <w:rPr>
          <w:rFonts w:asciiTheme="minorHAnsi" w:hAnsiTheme="minorHAnsi" w:cstheme="minorHAnsi"/>
          <w:b/>
          <w:color w:val="000000" w:themeColor="text1"/>
          <w:sz w:val="22"/>
          <w:szCs w:val="22"/>
        </w:rPr>
        <w:t>Resealable Child Resistant Packaging</w:t>
      </w:r>
      <w:r w:rsidRPr="007647B4">
        <w:rPr>
          <w:rFonts w:asciiTheme="minorHAnsi" w:hAnsiTheme="minorHAnsi" w:cstheme="minorHAnsi"/>
          <w:b/>
          <w:color w:val="000000" w:themeColor="text1"/>
          <w:sz w:val="22"/>
          <w:szCs w:val="22"/>
        </w:rPr>
        <w:t xml:space="preserve"> (not delegated to exit packaging)</w:t>
      </w:r>
      <w:r w:rsidR="00F82CDC" w:rsidRPr="007647B4">
        <w:rPr>
          <w:rFonts w:asciiTheme="minorHAnsi" w:hAnsiTheme="minorHAnsi" w:cstheme="minorHAnsi"/>
          <w:b/>
          <w:color w:val="000000" w:themeColor="text1"/>
          <w:sz w:val="22"/>
          <w:szCs w:val="22"/>
        </w:rPr>
        <w:t xml:space="preserve"> and </w:t>
      </w:r>
      <w:r w:rsidR="00DC723F" w:rsidRPr="007647B4">
        <w:rPr>
          <w:rFonts w:asciiTheme="minorHAnsi" w:hAnsiTheme="minorHAnsi" w:cstheme="minorHAnsi"/>
          <w:b/>
          <w:color w:val="000000" w:themeColor="text1"/>
          <w:sz w:val="22"/>
          <w:szCs w:val="22"/>
        </w:rPr>
        <w:t>P</w:t>
      </w:r>
      <w:r w:rsidR="00CB1EF0" w:rsidRPr="007647B4">
        <w:rPr>
          <w:rFonts w:asciiTheme="minorHAnsi" w:hAnsiTheme="minorHAnsi" w:cstheme="minorHAnsi"/>
          <w:b/>
          <w:color w:val="000000" w:themeColor="text1"/>
          <w:sz w:val="22"/>
          <w:szCs w:val="22"/>
        </w:rPr>
        <w:t xml:space="preserve">lain </w:t>
      </w:r>
      <w:r w:rsidR="00DC723F" w:rsidRPr="007647B4">
        <w:rPr>
          <w:rFonts w:asciiTheme="minorHAnsi" w:hAnsiTheme="minorHAnsi" w:cstheme="minorHAnsi"/>
          <w:b/>
          <w:color w:val="000000" w:themeColor="text1"/>
          <w:sz w:val="22"/>
          <w:szCs w:val="22"/>
        </w:rPr>
        <w:t>P</w:t>
      </w:r>
      <w:r w:rsidR="00CB1EF0" w:rsidRPr="007647B4">
        <w:rPr>
          <w:rFonts w:asciiTheme="minorHAnsi" w:hAnsiTheme="minorHAnsi" w:cstheme="minorHAnsi"/>
          <w:b/>
          <w:color w:val="000000" w:themeColor="text1"/>
          <w:sz w:val="22"/>
          <w:szCs w:val="22"/>
        </w:rPr>
        <w:t>ackaging (§ 40415)</w:t>
      </w:r>
    </w:p>
    <w:p w14:paraId="1E73104C" w14:textId="77777777" w:rsidR="00CB1EF0" w:rsidRPr="007647B4" w:rsidRDefault="00CB1EF0" w:rsidP="003B2510">
      <w:pPr>
        <w:jc w:val="both"/>
        <w:rPr>
          <w:rFonts w:asciiTheme="minorHAnsi" w:hAnsiTheme="minorHAnsi" w:cstheme="minorHAnsi"/>
          <w:color w:val="000000" w:themeColor="text1"/>
          <w:sz w:val="22"/>
          <w:szCs w:val="22"/>
        </w:rPr>
      </w:pPr>
    </w:p>
    <w:p w14:paraId="3FA854DF" w14:textId="25A0C3C4" w:rsidR="00D32EBA" w:rsidRDefault="00232B4E" w:rsidP="007647B4">
      <w:pPr>
        <w:shd w:val="clear" w:color="auto" w:fill="FFFFFF"/>
        <w:contextualSpacing/>
        <w:jc w:val="both"/>
        <w:rPr>
          <w:rFonts w:asciiTheme="minorHAnsi" w:hAnsiTheme="minorHAnsi" w:cstheme="minorHAnsi"/>
          <w:color w:val="000000"/>
          <w:sz w:val="22"/>
          <w:szCs w:val="22"/>
        </w:rPr>
      </w:pPr>
      <w:r w:rsidRPr="007647B4">
        <w:rPr>
          <w:rFonts w:asciiTheme="minorHAnsi" w:hAnsiTheme="minorHAnsi" w:cstheme="minorHAnsi"/>
          <w:color w:val="000000" w:themeColor="text1"/>
          <w:sz w:val="22"/>
          <w:szCs w:val="22"/>
        </w:rPr>
        <w:t>Mo</w:t>
      </w:r>
      <w:r w:rsidR="006D5370" w:rsidRPr="007647B4">
        <w:rPr>
          <w:rFonts w:asciiTheme="minorHAnsi" w:hAnsiTheme="minorHAnsi" w:cstheme="minorHAnsi"/>
          <w:color w:val="000000" w:themeColor="text1"/>
          <w:sz w:val="22"/>
          <w:szCs w:val="22"/>
        </w:rPr>
        <w:t>st</w:t>
      </w:r>
      <w:r w:rsidRPr="007647B4">
        <w:rPr>
          <w:rFonts w:asciiTheme="minorHAnsi" w:hAnsiTheme="minorHAnsi" w:cstheme="minorHAnsi"/>
          <w:color w:val="000000" w:themeColor="text1"/>
          <w:sz w:val="22"/>
          <w:szCs w:val="22"/>
        </w:rPr>
        <w:t xml:space="preserve"> worrisome, the proposed regulations completely remove the </w:t>
      </w:r>
      <w:r w:rsidR="0078613E" w:rsidRPr="007647B4">
        <w:rPr>
          <w:rFonts w:asciiTheme="minorHAnsi" w:hAnsiTheme="minorHAnsi" w:cstheme="minorHAnsi"/>
          <w:color w:val="000000" w:themeColor="text1"/>
          <w:sz w:val="22"/>
          <w:szCs w:val="22"/>
        </w:rPr>
        <w:t xml:space="preserve">previous </w:t>
      </w:r>
      <w:r w:rsidRPr="007647B4">
        <w:rPr>
          <w:rFonts w:asciiTheme="minorHAnsi" w:hAnsiTheme="minorHAnsi" w:cstheme="minorHAnsi"/>
          <w:color w:val="000000" w:themeColor="text1"/>
          <w:sz w:val="22"/>
          <w:szCs w:val="22"/>
        </w:rPr>
        <w:t xml:space="preserve">requirement </w:t>
      </w:r>
      <w:r w:rsidR="0078613E" w:rsidRPr="007647B4">
        <w:rPr>
          <w:rFonts w:asciiTheme="minorHAnsi" w:hAnsiTheme="minorHAnsi" w:cstheme="minorHAnsi"/>
          <w:i/>
          <w:color w:val="000000" w:themeColor="text1"/>
          <w:sz w:val="22"/>
          <w:szCs w:val="22"/>
        </w:rPr>
        <w:t>“(</w:t>
      </w:r>
      <w:r w:rsidR="0078613E" w:rsidRPr="007647B4">
        <w:rPr>
          <w:rFonts w:asciiTheme="minorHAnsi" w:hAnsiTheme="minorHAnsi" w:cstheme="minorHAnsi"/>
          <w:i/>
          <w:sz w:val="22"/>
          <w:szCs w:val="22"/>
        </w:rPr>
        <w:t xml:space="preserve">(c) The package shall be child-resistant. A package shall be deemed child-resistant if it satisfies the standard for “special packaging” as set forth in the Poison Prevention Packaging Act of 1970 Regulations (16 C.F.R. §1700.15(b)(1)) (Rev. December 1983July 1995), which is hereby incorporated by reference. </w:t>
      </w:r>
      <w:proofErr w:type="gramStart"/>
      <w:r w:rsidR="0078613E" w:rsidRPr="007647B4">
        <w:rPr>
          <w:rFonts w:asciiTheme="minorHAnsi" w:hAnsiTheme="minorHAnsi" w:cstheme="minorHAnsi"/>
          <w:i/>
          <w:sz w:val="22"/>
          <w:szCs w:val="22"/>
        </w:rPr>
        <w:t>….(</w:t>
      </w:r>
      <w:proofErr w:type="gramEnd"/>
      <w:r w:rsidR="0078613E" w:rsidRPr="007647B4">
        <w:rPr>
          <w:rFonts w:asciiTheme="minorHAnsi" w:hAnsiTheme="minorHAnsi" w:cstheme="minorHAnsi"/>
          <w:i/>
          <w:sz w:val="22"/>
          <w:szCs w:val="22"/>
        </w:rPr>
        <w:t>f) If the package contains more than one serving of cannabis product, the package shall be re-sealable so that child-resistance is maintained throughout the life of the package.”</w:t>
      </w:r>
      <w:r w:rsidR="0078613E" w:rsidRPr="007647B4">
        <w:rPr>
          <w:rFonts w:asciiTheme="minorHAnsi" w:hAnsiTheme="minorHAnsi" w:cstheme="minorHAnsi"/>
          <w:sz w:val="22"/>
          <w:szCs w:val="22"/>
        </w:rPr>
        <w:t xml:space="preserve"> </w:t>
      </w:r>
      <w:r w:rsidRPr="007647B4">
        <w:rPr>
          <w:rFonts w:asciiTheme="minorHAnsi" w:hAnsiTheme="minorHAnsi" w:cstheme="minorHAnsi"/>
          <w:color w:val="000000" w:themeColor="text1"/>
          <w:sz w:val="22"/>
          <w:szCs w:val="22"/>
        </w:rPr>
        <w:t>Instead, child-resistant packaging is only required for exit-packaging when leaving the retailer</w:t>
      </w:r>
      <w:r w:rsidR="0078613E"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 xml:space="preserve">Exit packaging is likely to be thrown </w:t>
      </w:r>
      <w:r w:rsidR="0025383F" w:rsidRPr="007647B4">
        <w:rPr>
          <w:rFonts w:asciiTheme="minorHAnsi" w:hAnsiTheme="minorHAnsi" w:cstheme="minorHAnsi"/>
          <w:color w:val="000000" w:themeColor="text1"/>
          <w:sz w:val="22"/>
          <w:szCs w:val="22"/>
        </w:rPr>
        <w:t>out</w:t>
      </w:r>
      <w:r w:rsidRPr="007647B4">
        <w:rPr>
          <w:rFonts w:asciiTheme="minorHAnsi" w:hAnsiTheme="minorHAnsi" w:cstheme="minorHAnsi"/>
          <w:color w:val="000000" w:themeColor="text1"/>
          <w:sz w:val="22"/>
          <w:szCs w:val="22"/>
        </w:rPr>
        <w:t xml:space="preserve"> by the </w:t>
      </w:r>
      <w:r w:rsidRPr="007647B4">
        <w:rPr>
          <w:rFonts w:asciiTheme="minorHAnsi" w:hAnsiTheme="minorHAnsi" w:cstheme="minorHAnsi"/>
          <w:color w:val="000000" w:themeColor="text1"/>
          <w:sz w:val="22"/>
          <w:szCs w:val="22"/>
        </w:rPr>
        <w:lastRenderedPageBreak/>
        <w:t>consumer, leaving a product packaged in a manner that is not child-resistant</w:t>
      </w:r>
      <w:r w:rsidR="0078613E" w:rsidRPr="007647B4">
        <w:rPr>
          <w:rFonts w:asciiTheme="minorHAnsi" w:hAnsiTheme="minorHAnsi" w:cstheme="minorHAnsi"/>
          <w:color w:val="000000" w:themeColor="text1"/>
          <w:sz w:val="22"/>
          <w:szCs w:val="22"/>
        </w:rPr>
        <w:t xml:space="preserve">, and </w:t>
      </w:r>
      <w:r w:rsidR="00A070FF" w:rsidRPr="007647B4">
        <w:rPr>
          <w:rFonts w:asciiTheme="minorHAnsi" w:hAnsiTheme="minorHAnsi" w:cstheme="minorHAnsi"/>
          <w:color w:val="000000" w:themeColor="text1"/>
          <w:sz w:val="22"/>
          <w:szCs w:val="22"/>
        </w:rPr>
        <w:t xml:space="preserve">exit packaging </w:t>
      </w:r>
      <w:r w:rsidR="0078613E" w:rsidRPr="007647B4">
        <w:rPr>
          <w:rFonts w:asciiTheme="minorHAnsi" w:hAnsiTheme="minorHAnsi" w:cstheme="minorHAnsi"/>
          <w:color w:val="000000" w:themeColor="text1"/>
          <w:sz w:val="22"/>
          <w:szCs w:val="22"/>
        </w:rPr>
        <w:t>will cle</w:t>
      </w:r>
      <w:r w:rsidR="00A070FF" w:rsidRPr="007647B4">
        <w:rPr>
          <w:rFonts w:asciiTheme="minorHAnsi" w:hAnsiTheme="minorHAnsi" w:cstheme="minorHAnsi"/>
          <w:color w:val="000000" w:themeColor="text1"/>
          <w:sz w:val="22"/>
          <w:szCs w:val="22"/>
        </w:rPr>
        <w:t>a</w:t>
      </w:r>
      <w:r w:rsidR="0078613E" w:rsidRPr="007647B4">
        <w:rPr>
          <w:rFonts w:asciiTheme="minorHAnsi" w:hAnsiTheme="minorHAnsi" w:cstheme="minorHAnsi"/>
          <w:color w:val="000000" w:themeColor="text1"/>
          <w:sz w:val="22"/>
          <w:szCs w:val="22"/>
        </w:rPr>
        <w:t xml:space="preserve">rly not be reused once the package is opened. </w:t>
      </w:r>
      <w:r w:rsidRPr="007647B4">
        <w:rPr>
          <w:rFonts w:asciiTheme="minorHAnsi" w:hAnsiTheme="minorHAnsi" w:cstheme="minorHAnsi"/>
          <w:color w:val="000000" w:themeColor="text1"/>
          <w:sz w:val="22"/>
          <w:szCs w:val="22"/>
        </w:rPr>
        <w:t xml:space="preserve"> This has the potential to lead to </w:t>
      </w:r>
      <w:r w:rsidR="00A070FF" w:rsidRPr="007647B4">
        <w:rPr>
          <w:rFonts w:asciiTheme="minorHAnsi" w:hAnsiTheme="minorHAnsi" w:cstheme="minorHAnsi"/>
          <w:color w:val="000000" w:themeColor="text1"/>
          <w:sz w:val="22"/>
          <w:szCs w:val="22"/>
        </w:rPr>
        <w:t xml:space="preserve">significant </w:t>
      </w:r>
      <w:r w:rsidRPr="007647B4">
        <w:rPr>
          <w:rFonts w:asciiTheme="minorHAnsi" w:hAnsiTheme="minorHAnsi" w:cstheme="minorHAnsi"/>
          <w:color w:val="000000" w:themeColor="text1"/>
          <w:sz w:val="22"/>
          <w:szCs w:val="22"/>
        </w:rPr>
        <w:t xml:space="preserve">health harms to young children who will be easily able to access cannabis products. </w:t>
      </w:r>
      <w:r w:rsidR="0078613E" w:rsidRPr="007647B4">
        <w:rPr>
          <w:rFonts w:asciiTheme="minorHAnsi" w:hAnsiTheme="minorHAnsi" w:cstheme="minorHAnsi"/>
          <w:color w:val="000000"/>
          <w:sz w:val="22"/>
          <w:szCs w:val="22"/>
        </w:rPr>
        <w:t xml:space="preserve"> </w:t>
      </w:r>
    </w:p>
    <w:p w14:paraId="450E92B4" w14:textId="77777777" w:rsidR="00D32EBA" w:rsidRDefault="00D32EBA" w:rsidP="008D1B9C">
      <w:pPr>
        <w:shd w:val="clear" w:color="auto" w:fill="FFFFFF"/>
        <w:contextualSpacing/>
        <w:jc w:val="both"/>
        <w:rPr>
          <w:rFonts w:asciiTheme="minorHAnsi" w:hAnsiTheme="minorHAnsi" w:cstheme="minorHAnsi"/>
          <w:color w:val="000000"/>
          <w:sz w:val="22"/>
          <w:szCs w:val="22"/>
        </w:rPr>
      </w:pPr>
    </w:p>
    <w:p w14:paraId="72C234EA" w14:textId="51C7083F" w:rsidR="008D1B9C" w:rsidRDefault="008D1B9C" w:rsidP="008D1B9C">
      <w:pPr>
        <w:shd w:val="clear" w:color="auto" w:fill="FFFFFF"/>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Several recent studies highlight the dangers of this measure. </w:t>
      </w:r>
      <w:r w:rsidR="0078613E" w:rsidRPr="007647B4">
        <w:rPr>
          <w:rFonts w:asciiTheme="minorHAnsi" w:hAnsiTheme="minorHAnsi" w:cstheme="minorHAnsi"/>
          <w:color w:val="000000"/>
          <w:sz w:val="22"/>
          <w:szCs w:val="22"/>
        </w:rPr>
        <w:t>A recent</w:t>
      </w:r>
      <w:r>
        <w:rPr>
          <w:rFonts w:asciiTheme="minorHAnsi" w:hAnsiTheme="minorHAnsi" w:cstheme="minorHAnsi"/>
          <w:color w:val="000000"/>
          <w:sz w:val="22"/>
          <w:szCs w:val="22"/>
        </w:rPr>
        <w:t xml:space="preserve"> review of pediatric poisoning </w:t>
      </w:r>
      <w:r w:rsidR="0078613E" w:rsidRPr="007647B4">
        <w:rPr>
          <w:rFonts w:asciiTheme="minorHAnsi" w:hAnsiTheme="minorHAnsi" w:cstheme="minorHAnsi"/>
          <w:color w:val="000000"/>
          <w:sz w:val="22"/>
          <w:szCs w:val="22"/>
        </w:rPr>
        <w:t>confirm</w:t>
      </w:r>
      <w:r>
        <w:rPr>
          <w:rFonts w:asciiTheme="minorHAnsi" w:hAnsiTheme="minorHAnsi" w:cstheme="minorHAnsi"/>
          <w:color w:val="000000"/>
          <w:sz w:val="22"/>
          <w:szCs w:val="22"/>
        </w:rPr>
        <w:t>s</w:t>
      </w:r>
      <w:r w:rsidR="0078613E" w:rsidRPr="007647B4">
        <w:rPr>
          <w:rFonts w:asciiTheme="minorHAnsi" w:hAnsiTheme="minorHAnsi" w:cstheme="minorHAnsi"/>
          <w:color w:val="000000"/>
          <w:sz w:val="22"/>
          <w:szCs w:val="22"/>
        </w:rPr>
        <w:t xml:space="preserve"> increasing incidence of unintentional </w:t>
      </w:r>
      <w:r w:rsidR="0078613E" w:rsidRPr="007647B4">
        <w:rPr>
          <w:rStyle w:val="highlight"/>
          <w:rFonts w:asciiTheme="minorHAnsi" w:hAnsiTheme="minorHAnsi" w:cstheme="minorHAnsi"/>
          <w:color w:val="000000"/>
          <w:sz w:val="22"/>
          <w:szCs w:val="22"/>
        </w:rPr>
        <w:t>ingestion</w:t>
      </w:r>
      <w:r w:rsidR="0078613E" w:rsidRPr="007647B4">
        <w:rPr>
          <w:rFonts w:asciiTheme="minorHAnsi" w:hAnsiTheme="minorHAnsi" w:cstheme="minorHAnsi"/>
          <w:color w:val="000000"/>
          <w:sz w:val="22"/>
          <w:szCs w:val="22"/>
        </w:rPr>
        <w:t> in states having decriminalized medical and recreational </w:t>
      </w:r>
      <w:r w:rsidR="0078613E" w:rsidRPr="007647B4">
        <w:rPr>
          <w:rStyle w:val="highlight"/>
          <w:rFonts w:asciiTheme="minorHAnsi" w:hAnsiTheme="minorHAnsi" w:cstheme="minorHAnsi"/>
          <w:color w:val="000000"/>
          <w:sz w:val="22"/>
          <w:szCs w:val="22"/>
        </w:rPr>
        <w:t>cannabis</w:t>
      </w:r>
      <w:r w:rsidR="0078613E" w:rsidRPr="007647B4">
        <w:rPr>
          <w:rFonts w:asciiTheme="minorHAnsi" w:hAnsiTheme="minorHAnsi" w:cstheme="minorHAnsi"/>
          <w:color w:val="000000"/>
          <w:sz w:val="22"/>
          <w:szCs w:val="22"/>
        </w:rPr>
        <w:t xml:space="preserve">. Reports range from children 8 months to 12 </w:t>
      </w:r>
      <w:r>
        <w:rPr>
          <w:rFonts w:asciiTheme="minorHAnsi" w:hAnsiTheme="minorHAnsi" w:cstheme="minorHAnsi"/>
          <w:color w:val="000000"/>
          <w:sz w:val="22"/>
          <w:szCs w:val="22"/>
        </w:rPr>
        <w:t>years of age. T</w:t>
      </w:r>
      <w:r w:rsidR="0078613E" w:rsidRPr="007647B4">
        <w:rPr>
          <w:rFonts w:asciiTheme="minorHAnsi" w:hAnsiTheme="minorHAnsi" w:cstheme="minorHAnsi"/>
          <w:color w:val="000000"/>
          <w:sz w:val="22"/>
          <w:szCs w:val="22"/>
        </w:rPr>
        <w:t>he most common </w:t>
      </w:r>
      <w:r w:rsidR="0078613E" w:rsidRPr="007647B4">
        <w:rPr>
          <w:rStyle w:val="highlight"/>
          <w:rFonts w:asciiTheme="minorHAnsi" w:hAnsiTheme="minorHAnsi" w:cstheme="minorHAnsi"/>
          <w:color w:val="000000"/>
          <w:sz w:val="22"/>
          <w:szCs w:val="22"/>
        </w:rPr>
        <w:t>ingestion</w:t>
      </w:r>
      <w:r w:rsidR="0078613E" w:rsidRPr="007647B4">
        <w:rPr>
          <w:rFonts w:asciiTheme="minorHAnsi" w:hAnsiTheme="minorHAnsi" w:cstheme="minorHAnsi"/>
          <w:color w:val="000000"/>
          <w:sz w:val="22"/>
          <w:szCs w:val="22"/>
        </w:rPr>
        <w:t> was </w:t>
      </w:r>
      <w:r w:rsidR="0078613E" w:rsidRPr="007647B4">
        <w:rPr>
          <w:rStyle w:val="highlight"/>
          <w:rFonts w:asciiTheme="minorHAnsi" w:hAnsiTheme="minorHAnsi" w:cstheme="minorHAnsi"/>
          <w:color w:val="000000"/>
          <w:sz w:val="22"/>
          <w:szCs w:val="22"/>
        </w:rPr>
        <w:t>cannabis</w:t>
      </w:r>
      <w:r w:rsidR="0078613E" w:rsidRPr="007647B4">
        <w:rPr>
          <w:rFonts w:asciiTheme="minorHAnsi" w:hAnsiTheme="minorHAnsi" w:cstheme="minorHAnsi"/>
          <w:color w:val="000000"/>
          <w:sz w:val="22"/>
          <w:szCs w:val="22"/>
        </w:rPr>
        <w:t> resin, followed by cookies and joints. Other exposures included passive smoke, medical </w:t>
      </w:r>
      <w:r w:rsidR="0078613E" w:rsidRPr="007647B4">
        <w:rPr>
          <w:rStyle w:val="highlight"/>
          <w:rFonts w:asciiTheme="minorHAnsi" w:hAnsiTheme="minorHAnsi" w:cstheme="minorHAnsi"/>
          <w:color w:val="000000"/>
          <w:sz w:val="22"/>
          <w:szCs w:val="22"/>
        </w:rPr>
        <w:t>cannabis</w:t>
      </w:r>
      <w:r w:rsidR="0078613E" w:rsidRPr="007647B4">
        <w:rPr>
          <w:rFonts w:asciiTheme="minorHAnsi" w:hAnsiTheme="minorHAnsi" w:cstheme="minorHAnsi"/>
          <w:color w:val="000000"/>
          <w:sz w:val="22"/>
          <w:szCs w:val="22"/>
        </w:rPr>
        <w:t>, candies, beverages, and hemp oil. Lethargy was the most common presenting sign, followed by ataxia. Tachycardia, mydriasis, and hypotonia were also commonly observed. Eighteen percent required admission to the pediatric intensive care unit, and 6% were intubated</w:t>
      </w:r>
      <w:r w:rsidR="00EF0F60" w:rsidRPr="007647B4">
        <w:rPr>
          <w:rFonts w:asciiTheme="minorHAnsi" w:hAnsiTheme="minorHAnsi" w:cstheme="minorHAnsi"/>
          <w:color w:val="000000"/>
          <w:sz w:val="22"/>
          <w:szCs w:val="22"/>
        </w:rPr>
        <w:t>, demonstrating the potential severity, especially if a child ingests a high potency product</w:t>
      </w:r>
      <w:r w:rsidR="0078613E" w:rsidRPr="007647B4">
        <w:rPr>
          <w:rFonts w:asciiTheme="minorHAnsi" w:hAnsiTheme="minorHAnsi" w:cstheme="minorHAnsi"/>
          <w:color w:val="000000"/>
          <w:sz w:val="22"/>
          <w:szCs w:val="22"/>
        </w:rPr>
        <w:t>.</w:t>
      </w:r>
      <w:r w:rsidR="0078613E" w:rsidRPr="007647B4">
        <w:rPr>
          <w:rStyle w:val="FootnoteReference"/>
          <w:rFonts w:asciiTheme="minorHAnsi" w:hAnsiTheme="minorHAnsi" w:cstheme="minorHAnsi"/>
          <w:color w:val="000000"/>
          <w:sz w:val="22"/>
          <w:szCs w:val="22"/>
        </w:rPr>
        <w:footnoteReference w:id="139"/>
      </w:r>
      <w:r w:rsidR="0078613E" w:rsidRPr="007647B4">
        <w:rPr>
          <w:rFonts w:asciiTheme="minorHAnsi" w:hAnsiTheme="minorHAnsi" w:cstheme="minorHAnsi"/>
          <w:color w:val="000000"/>
          <w:sz w:val="22"/>
          <w:szCs w:val="22"/>
        </w:rPr>
        <w:t xml:space="preserve"> </w:t>
      </w:r>
      <w:r w:rsidR="00EF0F60" w:rsidRPr="007647B4">
        <w:rPr>
          <w:rFonts w:asciiTheme="minorHAnsi" w:hAnsiTheme="minorHAnsi" w:cstheme="minorHAnsi"/>
          <w:color w:val="000000"/>
          <w:sz w:val="22"/>
          <w:szCs w:val="22"/>
        </w:rPr>
        <w:t xml:space="preserve">Regional poison control </w:t>
      </w:r>
      <w:r w:rsidR="00345B8C" w:rsidRPr="007647B4">
        <w:rPr>
          <w:rFonts w:asciiTheme="minorHAnsi" w:hAnsiTheme="minorHAnsi" w:cstheme="minorHAnsi"/>
          <w:color w:val="000000"/>
          <w:sz w:val="22"/>
          <w:szCs w:val="22"/>
        </w:rPr>
        <w:t xml:space="preserve">(RPC) </w:t>
      </w:r>
      <w:r w:rsidR="00EF0F60" w:rsidRPr="007647B4">
        <w:rPr>
          <w:rFonts w:asciiTheme="minorHAnsi" w:hAnsiTheme="minorHAnsi" w:cstheme="minorHAnsi"/>
          <w:color w:val="000000"/>
          <w:sz w:val="22"/>
          <w:szCs w:val="22"/>
        </w:rPr>
        <w:t xml:space="preserve">pediatric marijuana cases quintupled in </w:t>
      </w:r>
      <w:proofErr w:type="gramStart"/>
      <w:r w:rsidR="00EF0F60" w:rsidRPr="007647B4">
        <w:rPr>
          <w:rFonts w:asciiTheme="minorHAnsi" w:hAnsiTheme="minorHAnsi" w:cstheme="minorHAnsi"/>
          <w:color w:val="000000"/>
          <w:sz w:val="22"/>
          <w:szCs w:val="22"/>
        </w:rPr>
        <w:t xml:space="preserve">Colorado </w:t>
      </w:r>
      <w:r w:rsidR="0078613E" w:rsidRPr="007647B4">
        <w:rPr>
          <w:rFonts w:asciiTheme="minorHAnsi" w:hAnsiTheme="minorHAnsi" w:cstheme="minorHAnsi"/>
          <w:color w:val="000000"/>
          <w:sz w:val="22"/>
          <w:szCs w:val="22"/>
        </w:rPr>
        <w:t xml:space="preserve"> between</w:t>
      </w:r>
      <w:proofErr w:type="gramEnd"/>
      <w:r w:rsidR="0078613E" w:rsidRPr="007647B4">
        <w:rPr>
          <w:rFonts w:asciiTheme="minorHAnsi" w:hAnsiTheme="minorHAnsi" w:cstheme="minorHAnsi"/>
          <w:color w:val="000000"/>
          <w:sz w:val="22"/>
          <w:szCs w:val="22"/>
        </w:rPr>
        <w:t xml:space="preserve"> 2009 and 2015. </w:t>
      </w:r>
      <w:r w:rsidR="0078613E" w:rsidRPr="007647B4">
        <w:rPr>
          <w:rFonts w:asciiTheme="minorHAnsi" w:hAnsiTheme="minorHAnsi" w:cstheme="minorHAnsi"/>
          <w:color w:val="000000"/>
          <w:sz w:val="22"/>
          <w:szCs w:val="22"/>
        </w:rPr>
        <w:t xml:space="preserve">Colorado had an average increase in RPC cases of 34% (P &lt; .001) </w:t>
      </w:r>
      <w:r w:rsidR="0078613E" w:rsidRPr="008D1B9C">
        <w:rPr>
          <w:rFonts w:asciiTheme="minorHAnsi" w:hAnsiTheme="minorHAnsi" w:cstheme="minorHAnsi"/>
          <w:b/>
          <w:color w:val="000000"/>
          <w:sz w:val="22"/>
          <w:szCs w:val="22"/>
        </w:rPr>
        <w:t>per year</w:t>
      </w:r>
      <w:r w:rsidR="0078613E" w:rsidRPr="007647B4">
        <w:rPr>
          <w:rFonts w:asciiTheme="minorHAnsi" w:hAnsiTheme="minorHAnsi" w:cstheme="minorHAnsi"/>
          <w:color w:val="000000"/>
          <w:sz w:val="22"/>
          <w:szCs w:val="22"/>
        </w:rPr>
        <w:t xml:space="preserve"> while the remainder of the United States had an increase of 19% (P &lt; .001). </w:t>
      </w:r>
      <w:r w:rsidR="00A070FF" w:rsidRPr="007647B4">
        <w:rPr>
          <w:rFonts w:asciiTheme="minorHAnsi" w:hAnsiTheme="minorHAnsi" w:cstheme="minorHAnsi"/>
          <w:color w:val="000000"/>
          <w:sz w:val="22"/>
          <w:szCs w:val="22"/>
        </w:rPr>
        <w:t>Produc</w:t>
      </w:r>
      <w:r w:rsidR="00EE331A">
        <w:rPr>
          <w:rFonts w:asciiTheme="minorHAnsi" w:hAnsiTheme="minorHAnsi" w:cstheme="minorHAnsi"/>
          <w:color w:val="000000"/>
          <w:sz w:val="22"/>
          <w:szCs w:val="22"/>
        </w:rPr>
        <w:t>t</w:t>
      </w:r>
      <w:r w:rsidR="0078613E" w:rsidRPr="007647B4">
        <w:rPr>
          <w:rFonts w:asciiTheme="minorHAnsi" w:hAnsiTheme="minorHAnsi" w:cstheme="minorHAnsi"/>
          <w:color w:val="000000"/>
          <w:sz w:val="22"/>
          <w:szCs w:val="22"/>
        </w:rPr>
        <w:t xml:space="preserve"> not in a </w:t>
      </w:r>
      <w:r w:rsidR="0078613E" w:rsidRPr="007647B4">
        <w:rPr>
          <w:rStyle w:val="highlight"/>
          <w:rFonts w:asciiTheme="minorHAnsi" w:hAnsiTheme="minorHAnsi" w:cstheme="minorHAnsi"/>
          <w:color w:val="000000"/>
          <w:sz w:val="22"/>
          <w:szCs w:val="22"/>
        </w:rPr>
        <w:t>child</w:t>
      </w:r>
      <w:r w:rsidR="0078613E" w:rsidRPr="007647B4">
        <w:rPr>
          <w:rFonts w:asciiTheme="minorHAnsi" w:hAnsiTheme="minorHAnsi" w:cstheme="minorHAnsi"/>
          <w:color w:val="000000"/>
          <w:sz w:val="22"/>
          <w:szCs w:val="22"/>
        </w:rPr>
        <w:t>-resistant container</w:t>
      </w:r>
      <w:r>
        <w:rPr>
          <w:rFonts w:asciiTheme="minorHAnsi" w:hAnsiTheme="minorHAnsi" w:cstheme="minorHAnsi"/>
          <w:color w:val="000000"/>
          <w:sz w:val="22"/>
          <w:szCs w:val="22"/>
        </w:rPr>
        <w:t xml:space="preserve"> was</w:t>
      </w:r>
      <w:r w:rsidR="00EE331A" w:rsidRPr="00EE331A">
        <w:rPr>
          <w:rFonts w:asciiTheme="minorHAnsi" w:hAnsiTheme="minorHAnsi" w:cstheme="minorHAnsi"/>
          <w:color w:val="000000"/>
          <w:sz w:val="22"/>
          <w:szCs w:val="22"/>
        </w:rPr>
        <w:t xml:space="preserve"> a</w:t>
      </w:r>
      <w:r w:rsidR="00EE331A">
        <w:rPr>
          <w:rFonts w:asciiTheme="minorHAnsi" w:hAnsiTheme="minorHAnsi" w:cstheme="minorHAnsi"/>
          <w:color w:val="000000"/>
          <w:sz w:val="22"/>
          <w:szCs w:val="22"/>
        </w:rPr>
        <w:t xml:space="preserve"> </w:t>
      </w:r>
      <w:r w:rsidR="00A070FF" w:rsidRPr="007647B4">
        <w:rPr>
          <w:rFonts w:asciiTheme="minorHAnsi" w:hAnsiTheme="minorHAnsi" w:cstheme="minorHAnsi"/>
          <w:color w:val="000000"/>
          <w:sz w:val="22"/>
          <w:szCs w:val="22"/>
        </w:rPr>
        <w:t xml:space="preserve">contributing </w:t>
      </w:r>
      <w:proofErr w:type="gramStart"/>
      <w:r w:rsidR="00A070FF" w:rsidRPr="007647B4">
        <w:rPr>
          <w:rFonts w:asciiTheme="minorHAnsi" w:hAnsiTheme="minorHAnsi" w:cstheme="minorHAnsi"/>
          <w:color w:val="000000"/>
          <w:sz w:val="22"/>
          <w:szCs w:val="22"/>
        </w:rPr>
        <w:t>factor</w:t>
      </w:r>
      <w:r w:rsidR="0078613E" w:rsidRPr="007647B4">
        <w:rPr>
          <w:rFonts w:asciiTheme="minorHAnsi" w:hAnsiTheme="minorHAnsi" w:cstheme="minorHAnsi"/>
          <w:color w:val="000000"/>
          <w:sz w:val="22"/>
          <w:szCs w:val="22"/>
        </w:rPr>
        <w:t xml:space="preserve">; </w:t>
      </w:r>
      <w:r w:rsidR="00EE331A">
        <w:rPr>
          <w:rFonts w:asciiTheme="minorHAnsi" w:hAnsiTheme="minorHAnsi" w:cstheme="minorHAnsi"/>
          <w:color w:val="000000"/>
          <w:sz w:val="22"/>
          <w:szCs w:val="22"/>
        </w:rPr>
        <w:t xml:space="preserve"> </w:t>
      </w:r>
      <w:r w:rsidR="00A070FF" w:rsidRPr="007647B4">
        <w:rPr>
          <w:rFonts w:asciiTheme="minorHAnsi" w:hAnsiTheme="minorHAnsi" w:cstheme="minorHAnsi"/>
          <w:color w:val="000000"/>
          <w:sz w:val="22"/>
          <w:szCs w:val="22"/>
        </w:rPr>
        <w:t>with</w:t>
      </w:r>
      <w:proofErr w:type="gramEnd"/>
      <w:r w:rsidR="00A070FF" w:rsidRPr="007647B4">
        <w:rPr>
          <w:rFonts w:asciiTheme="minorHAnsi" w:hAnsiTheme="minorHAnsi" w:cstheme="minorHAnsi"/>
          <w:color w:val="000000"/>
          <w:sz w:val="22"/>
          <w:szCs w:val="22"/>
        </w:rPr>
        <w:t xml:space="preserve"> </w:t>
      </w:r>
      <w:r w:rsidR="0078613E" w:rsidRPr="007647B4">
        <w:rPr>
          <w:rFonts w:asciiTheme="minorHAnsi" w:hAnsiTheme="minorHAnsi" w:cstheme="minorHAnsi"/>
          <w:color w:val="000000"/>
          <w:sz w:val="22"/>
          <w:szCs w:val="22"/>
        </w:rPr>
        <w:t>poor </w:t>
      </w:r>
      <w:r w:rsidR="0078613E" w:rsidRPr="007647B4">
        <w:rPr>
          <w:rStyle w:val="highlight"/>
          <w:rFonts w:asciiTheme="minorHAnsi" w:hAnsiTheme="minorHAnsi" w:cstheme="minorHAnsi"/>
          <w:color w:val="000000"/>
          <w:sz w:val="22"/>
          <w:szCs w:val="22"/>
        </w:rPr>
        <w:t>child</w:t>
      </w:r>
      <w:r w:rsidR="0078613E" w:rsidRPr="007647B4">
        <w:rPr>
          <w:rFonts w:asciiTheme="minorHAnsi" w:hAnsiTheme="minorHAnsi" w:cstheme="minorHAnsi"/>
          <w:color w:val="000000"/>
          <w:sz w:val="22"/>
          <w:szCs w:val="22"/>
        </w:rPr>
        <w:t xml:space="preserve"> supervision or product storage </w:t>
      </w:r>
      <w:r w:rsidR="00A070FF" w:rsidRPr="007647B4">
        <w:rPr>
          <w:rFonts w:asciiTheme="minorHAnsi" w:hAnsiTheme="minorHAnsi" w:cstheme="minorHAnsi"/>
          <w:color w:val="000000"/>
          <w:sz w:val="22"/>
          <w:szCs w:val="22"/>
        </w:rPr>
        <w:t>as frequent factors as well</w:t>
      </w:r>
      <w:r w:rsidR="0078613E" w:rsidRPr="007647B4">
        <w:rPr>
          <w:rFonts w:asciiTheme="minorHAnsi" w:hAnsiTheme="minorHAnsi" w:cstheme="minorHAnsi"/>
          <w:color w:val="000000"/>
          <w:sz w:val="22"/>
          <w:szCs w:val="22"/>
        </w:rPr>
        <w:t xml:space="preserve">. Edible </w:t>
      </w:r>
      <w:r w:rsidR="00A070FF" w:rsidRPr="007647B4">
        <w:rPr>
          <w:rFonts w:asciiTheme="minorHAnsi" w:hAnsiTheme="minorHAnsi" w:cstheme="minorHAnsi"/>
          <w:color w:val="000000"/>
          <w:sz w:val="22"/>
          <w:szCs w:val="22"/>
        </w:rPr>
        <w:t>products were responsible for 5</w:t>
      </w:r>
      <w:r w:rsidR="00EE331A" w:rsidRPr="00EE331A">
        <w:rPr>
          <w:rFonts w:asciiTheme="minorHAnsi" w:hAnsiTheme="minorHAnsi" w:cstheme="minorHAnsi"/>
          <w:color w:val="000000"/>
          <w:sz w:val="22"/>
          <w:szCs w:val="22"/>
        </w:rPr>
        <w:t xml:space="preserve">2% </w:t>
      </w:r>
      <w:r w:rsidR="00A070FF" w:rsidRPr="007647B4">
        <w:rPr>
          <w:rFonts w:asciiTheme="minorHAnsi" w:hAnsiTheme="minorHAnsi" w:cstheme="minorHAnsi"/>
          <w:color w:val="000000"/>
          <w:sz w:val="22"/>
          <w:szCs w:val="22"/>
        </w:rPr>
        <w:t>of exposures.</w:t>
      </w:r>
      <w:r w:rsidR="00EF0F60" w:rsidRPr="007647B4">
        <w:rPr>
          <w:rFonts w:asciiTheme="minorHAnsi" w:hAnsiTheme="minorHAnsi" w:cstheme="minorHAnsi"/>
          <w:color w:val="000000"/>
          <w:sz w:val="22"/>
          <w:szCs w:val="22"/>
        </w:rPr>
        <w:t xml:space="preserve"> </w:t>
      </w:r>
      <w:r w:rsidR="00345B8C" w:rsidRPr="007647B4">
        <w:rPr>
          <w:rStyle w:val="FootnoteReference"/>
          <w:rFonts w:asciiTheme="minorHAnsi" w:hAnsiTheme="minorHAnsi" w:cstheme="minorHAnsi"/>
          <w:color w:val="000000"/>
          <w:sz w:val="22"/>
          <w:szCs w:val="22"/>
        </w:rPr>
        <w:footnoteReference w:id="140"/>
      </w:r>
      <w:r w:rsidR="00345B8C" w:rsidRPr="007647B4">
        <w:rPr>
          <w:rFonts w:asciiTheme="minorHAnsi" w:hAnsiTheme="minorHAnsi" w:cstheme="minorHAnsi"/>
          <w:color w:val="000000"/>
          <w:sz w:val="22"/>
          <w:szCs w:val="22"/>
        </w:rPr>
        <w:t xml:space="preserve"> In</w:t>
      </w:r>
      <w:r w:rsidR="00EF0F60" w:rsidRPr="007647B4">
        <w:rPr>
          <w:rFonts w:asciiTheme="minorHAnsi" w:hAnsiTheme="minorHAnsi" w:cstheme="minorHAnsi"/>
          <w:color w:val="000000"/>
          <w:sz w:val="22"/>
          <w:szCs w:val="22"/>
        </w:rPr>
        <w:t xml:space="preserve"> 2014 the MMWR reported one death from excessive marijuana ingestion by 19 year ol</w:t>
      </w:r>
      <w:r>
        <w:rPr>
          <w:rFonts w:asciiTheme="minorHAnsi" w:hAnsiTheme="minorHAnsi" w:cstheme="minorHAnsi"/>
          <w:color w:val="000000"/>
          <w:sz w:val="22"/>
          <w:szCs w:val="22"/>
        </w:rPr>
        <w:t>d, due to altered mental status</w:t>
      </w:r>
      <w:r w:rsidR="00EF0F60" w:rsidRPr="007647B4">
        <w:rPr>
          <w:rFonts w:asciiTheme="minorHAnsi" w:hAnsiTheme="minorHAnsi" w:cstheme="minorHAnsi"/>
          <w:color w:val="000000"/>
          <w:sz w:val="22"/>
          <w:szCs w:val="22"/>
        </w:rPr>
        <w:t xml:space="preserve"> and hostile behavior leading to a jump from a 4</w:t>
      </w:r>
      <w:r w:rsidR="00EF0F60" w:rsidRPr="007647B4">
        <w:rPr>
          <w:rFonts w:asciiTheme="minorHAnsi" w:hAnsiTheme="minorHAnsi" w:cstheme="minorHAnsi"/>
          <w:color w:val="000000"/>
          <w:sz w:val="22"/>
          <w:szCs w:val="22"/>
          <w:vertAlign w:val="superscript"/>
        </w:rPr>
        <w:t>th</w:t>
      </w:r>
      <w:r w:rsidR="00EF0F60" w:rsidRPr="007647B4">
        <w:rPr>
          <w:rFonts w:asciiTheme="minorHAnsi" w:hAnsiTheme="minorHAnsi" w:cstheme="minorHAnsi"/>
          <w:color w:val="000000"/>
          <w:sz w:val="22"/>
          <w:szCs w:val="22"/>
        </w:rPr>
        <w:t xml:space="preserve"> floor</w:t>
      </w:r>
      <w:r w:rsidR="00A070FF" w:rsidRPr="007647B4">
        <w:rPr>
          <w:rFonts w:asciiTheme="minorHAnsi" w:hAnsiTheme="minorHAnsi" w:cstheme="minorHAnsi"/>
          <w:color w:val="000000"/>
          <w:sz w:val="22"/>
          <w:szCs w:val="22"/>
        </w:rPr>
        <w:t>.</w:t>
      </w:r>
      <w:r w:rsidR="00A070FF" w:rsidRPr="007647B4">
        <w:rPr>
          <w:rStyle w:val="FootnoteReference"/>
          <w:rFonts w:asciiTheme="minorHAnsi" w:hAnsiTheme="minorHAnsi" w:cstheme="minorHAnsi"/>
          <w:color w:val="000000"/>
          <w:sz w:val="22"/>
          <w:szCs w:val="22"/>
        </w:rPr>
        <w:footnoteReference w:id="141"/>
      </w:r>
      <w:r w:rsidR="00A070FF" w:rsidRPr="007647B4">
        <w:rPr>
          <w:rFonts w:asciiTheme="minorHAnsi" w:hAnsiTheme="minorHAnsi" w:cstheme="minorHAnsi"/>
          <w:color w:val="000000"/>
          <w:sz w:val="22"/>
          <w:szCs w:val="22"/>
        </w:rPr>
        <w:t xml:space="preserve">  W</w:t>
      </w:r>
      <w:r w:rsidR="00345B8C" w:rsidRPr="007647B4">
        <w:rPr>
          <w:rFonts w:asciiTheme="minorHAnsi" w:hAnsiTheme="minorHAnsi" w:cstheme="minorHAnsi"/>
          <w:color w:val="000000"/>
          <w:sz w:val="22"/>
          <w:szCs w:val="22"/>
        </w:rPr>
        <w:t xml:space="preserve">hile this </w:t>
      </w:r>
      <w:r w:rsidR="00A070FF" w:rsidRPr="007647B4">
        <w:rPr>
          <w:rFonts w:asciiTheme="minorHAnsi" w:hAnsiTheme="minorHAnsi" w:cstheme="minorHAnsi"/>
          <w:color w:val="000000"/>
          <w:sz w:val="22"/>
          <w:szCs w:val="22"/>
        </w:rPr>
        <w:t xml:space="preserve">death </w:t>
      </w:r>
      <w:r w:rsidR="00345B8C" w:rsidRPr="007647B4">
        <w:rPr>
          <w:rFonts w:asciiTheme="minorHAnsi" w:hAnsiTheme="minorHAnsi" w:cstheme="minorHAnsi"/>
          <w:color w:val="000000"/>
          <w:sz w:val="22"/>
          <w:szCs w:val="22"/>
        </w:rPr>
        <w:t xml:space="preserve">was </w:t>
      </w:r>
      <w:r w:rsidR="00A070FF" w:rsidRPr="007647B4">
        <w:rPr>
          <w:rFonts w:asciiTheme="minorHAnsi" w:hAnsiTheme="minorHAnsi" w:cstheme="minorHAnsi"/>
          <w:color w:val="000000"/>
          <w:sz w:val="22"/>
          <w:szCs w:val="22"/>
        </w:rPr>
        <w:t xml:space="preserve">of </w:t>
      </w:r>
      <w:r w:rsidR="00345B8C" w:rsidRPr="007647B4">
        <w:rPr>
          <w:rFonts w:asciiTheme="minorHAnsi" w:hAnsiTheme="minorHAnsi" w:cstheme="minorHAnsi"/>
          <w:color w:val="000000"/>
          <w:sz w:val="22"/>
          <w:szCs w:val="22"/>
        </w:rPr>
        <w:t>a youth, it illustrates how excessive cannabis ingestion can act not just through direct toxicity but also through cannabis induced</w:t>
      </w:r>
      <w:r w:rsidR="00EE331A">
        <w:rPr>
          <w:rFonts w:asciiTheme="minorHAnsi" w:hAnsiTheme="minorHAnsi" w:cstheme="minorHAnsi"/>
          <w:color w:val="000000"/>
          <w:sz w:val="22"/>
          <w:szCs w:val="22"/>
        </w:rPr>
        <w:t xml:space="preserve"> </w:t>
      </w:r>
      <w:r w:rsidR="00A070FF" w:rsidRPr="007647B4">
        <w:rPr>
          <w:rFonts w:asciiTheme="minorHAnsi" w:hAnsiTheme="minorHAnsi" w:cstheme="minorHAnsi"/>
          <w:color w:val="000000"/>
          <w:sz w:val="22"/>
          <w:szCs w:val="22"/>
        </w:rPr>
        <w:t xml:space="preserve">mental status changes leading </w:t>
      </w:r>
      <w:proofErr w:type="gramStart"/>
      <w:r w:rsidR="00A070FF" w:rsidRPr="007647B4">
        <w:rPr>
          <w:rFonts w:asciiTheme="minorHAnsi" w:hAnsiTheme="minorHAnsi" w:cstheme="minorHAnsi"/>
          <w:color w:val="000000"/>
          <w:sz w:val="22"/>
          <w:szCs w:val="22"/>
        </w:rPr>
        <w:t xml:space="preserve">to </w:t>
      </w:r>
      <w:r w:rsidR="00345B8C" w:rsidRPr="007647B4">
        <w:rPr>
          <w:rFonts w:asciiTheme="minorHAnsi" w:hAnsiTheme="minorHAnsi" w:cstheme="minorHAnsi"/>
          <w:color w:val="000000"/>
          <w:sz w:val="22"/>
          <w:szCs w:val="22"/>
        </w:rPr>
        <w:t xml:space="preserve"> injuries</w:t>
      </w:r>
      <w:proofErr w:type="gramEnd"/>
      <w:r w:rsidR="00345B8C" w:rsidRPr="007647B4">
        <w:rPr>
          <w:rFonts w:asciiTheme="minorHAnsi" w:hAnsiTheme="minorHAnsi" w:cstheme="minorHAnsi"/>
          <w:color w:val="000000"/>
          <w:sz w:val="22"/>
          <w:szCs w:val="22"/>
        </w:rPr>
        <w:t xml:space="preserve">.  </w:t>
      </w:r>
      <w:r w:rsidR="00F12532" w:rsidRPr="007647B4">
        <w:rPr>
          <w:rFonts w:asciiTheme="minorHAnsi" w:hAnsiTheme="minorHAnsi" w:cstheme="minorHAnsi"/>
          <w:color w:val="000000"/>
          <w:sz w:val="22"/>
          <w:szCs w:val="22"/>
        </w:rPr>
        <w:t xml:space="preserve">Levi </w:t>
      </w:r>
      <w:r w:rsidR="00F12532" w:rsidRPr="007647B4">
        <w:rPr>
          <w:rFonts w:asciiTheme="minorHAnsi" w:hAnsiTheme="minorHAnsi" w:cstheme="minorHAnsi"/>
          <w:i/>
          <w:color w:val="000000"/>
          <w:sz w:val="22"/>
          <w:szCs w:val="22"/>
        </w:rPr>
        <w:t>et al</w:t>
      </w:r>
      <w:r w:rsidR="00F12532" w:rsidRPr="007647B4">
        <w:rPr>
          <w:rFonts w:asciiTheme="minorHAnsi" w:hAnsiTheme="minorHAnsi" w:cstheme="minorHAnsi"/>
          <w:color w:val="000000"/>
          <w:sz w:val="22"/>
          <w:szCs w:val="22"/>
        </w:rPr>
        <w:t xml:space="preserve"> reported sudden onset encephalopathy in infants due to cannabis intoxication.</w:t>
      </w:r>
      <w:r w:rsidR="00345B8C" w:rsidRPr="007647B4">
        <w:rPr>
          <w:rStyle w:val="FootnoteReference"/>
          <w:rFonts w:asciiTheme="minorHAnsi" w:hAnsiTheme="minorHAnsi" w:cstheme="minorHAnsi"/>
          <w:color w:val="000000"/>
          <w:sz w:val="22"/>
          <w:szCs w:val="22"/>
        </w:rPr>
        <w:footnoteReference w:id="142"/>
      </w:r>
      <w:r w:rsidR="00F12532" w:rsidRPr="007647B4">
        <w:rPr>
          <w:rFonts w:asciiTheme="minorHAnsi" w:hAnsiTheme="minorHAnsi" w:cstheme="minorHAnsi"/>
          <w:color w:val="000000"/>
          <w:sz w:val="22"/>
          <w:szCs w:val="22"/>
        </w:rPr>
        <w:t xml:space="preserve"> </w:t>
      </w:r>
      <w:proofErr w:type="spellStart"/>
      <w:r w:rsidR="00F12532" w:rsidRPr="007647B4">
        <w:rPr>
          <w:rFonts w:asciiTheme="minorHAnsi" w:hAnsiTheme="minorHAnsi" w:cstheme="minorHAnsi"/>
          <w:color w:val="000000"/>
          <w:sz w:val="22"/>
          <w:szCs w:val="22"/>
        </w:rPr>
        <w:t>Boadu</w:t>
      </w:r>
      <w:proofErr w:type="spellEnd"/>
      <w:r w:rsidR="00F12532" w:rsidRPr="007647B4">
        <w:rPr>
          <w:rFonts w:asciiTheme="minorHAnsi" w:hAnsiTheme="minorHAnsi" w:cstheme="minorHAnsi"/>
          <w:color w:val="000000"/>
          <w:sz w:val="22"/>
          <w:szCs w:val="22"/>
        </w:rPr>
        <w:t xml:space="preserve"> reports </w:t>
      </w:r>
      <w:r w:rsidR="00A47FC2">
        <w:rPr>
          <w:rFonts w:asciiTheme="minorHAnsi" w:hAnsiTheme="minorHAnsi" w:cstheme="minorHAnsi"/>
          <w:color w:val="000000"/>
          <w:sz w:val="22"/>
          <w:szCs w:val="22"/>
        </w:rPr>
        <w:t xml:space="preserve">on </w:t>
      </w:r>
      <w:r w:rsidR="00F12532" w:rsidRPr="007647B4">
        <w:rPr>
          <w:rFonts w:asciiTheme="minorHAnsi" w:hAnsiTheme="minorHAnsi" w:cstheme="minorHAnsi"/>
          <w:color w:val="000000"/>
          <w:sz w:val="22"/>
          <w:szCs w:val="22"/>
        </w:rPr>
        <w:t xml:space="preserve">pediatric ingestion presenting as seizures and reviews National Poison </w:t>
      </w:r>
      <w:r w:rsidR="00A070FF" w:rsidRPr="007647B4">
        <w:rPr>
          <w:rFonts w:asciiTheme="minorHAnsi" w:hAnsiTheme="minorHAnsi" w:cstheme="minorHAnsi"/>
          <w:color w:val="000000"/>
          <w:sz w:val="22"/>
          <w:szCs w:val="22"/>
        </w:rPr>
        <w:t xml:space="preserve">Data System reports of cannabis intoxication in children younger than 6, which have increased dramatically over the past decade (Figure below), reaching over 400 in 2015 alone. </w:t>
      </w:r>
    </w:p>
    <w:p w14:paraId="6A8C8AC4" w14:textId="77777777" w:rsidR="008D1B9C" w:rsidRDefault="008D1B9C" w:rsidP="008D1B9C">
      <w:pPr>
        <w:shd w:val="clear" w:color="auto" w:fill="FFFFFF"/>
        <w:contextualSpacing/>
        <w:jc w:val="center"/>
        <w:rPr>
          <w:rFonts w:asciiTheme="minorHAnsi" w:hAnsiTheme="minorHAnsi" w:cstheme="minorHAnsi"/>
          <w:color w:val="000000"/>
          <w:sz w:val="22"/>
          <w:szCs w:val="22"/>
        </w:rPr>
      </w:pPr>
      <w:r w:rsidRPr="00CD2F8B">
        <w:rPr>
          <w:rFonts w:asciiTheme="minorHAnsi" w:hAnsiTheme="minorHAnsi" w:cstheme="minorHAnsi"/>
          <w:noProof/>
          <w:color w:val="000000"/>
          <w:sz w:val="22"/>
          <w:szCs w:val="22"/>
        </w:rPr>
        <w:drawing>
          <wp:inline distT="0" distB="0" distL="0" distR="0" wp14:anchorId="7CE64066" wp14:editId="0D8D48A4">
            <wp:extent cx="5067228" cy="2943434"/>
            <wp:effectExtent l="0" t="0" r="63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8-21 at 10.34.45 PM.png"/>
                    <pic:cNvPicPr/>
                  </pic:nvPicPr>
                  <pic:blipFill>
                    <a:blip r:embed="rId13">
                      <a:extLst>
                        <a:ext uri="{28A0092B-C50C-407E-A947-70E740481C1C}">
                          <a14:useLocalDpi xmlns:a14="http://schemas.microsoft.com/office/drawing/2010/main" val="0"/>
                        </a:ext>
                      </a:extLst>
                    </a:blip>
                    <a:stretch>
                      <a:fillRect/>
                    </a:stretch>
                  </pic:blipFill>
                  <pic:spPr>
                    <a:xfrm>
                      <a:off x="0" y="0"/>
                      <a:ext cx="5145014" cy="2988618"/>
                    </a:xfrm>
                    <a:prstGeom prst="rect">
                      <a:avLst/>
                    </a:prstGeom>
                  </pic:spPr>
                </pic:pic>
              </a:graphicData>
            </a:graphic>
          </wp:inline>
        </w:drawing>
      </w:r>
      <w:r w:rsidR="00A070FF" w:rsidRPr="007647B4">
        <w:rPr>
          <w:rFonts w:asciiTheme="minorHAnsi" w:hAnsiTheme="minorHAnsi" w:cstheme="minorHAnsi"/>
          <w:color w:val="000000"/>
          <w:sz w:val="22"/>
          <w:szCs w:val="22"/>
        </w:rPr>
        <w:t xml:space="preserve"> </w:t>
      </w:r>
    </w:p>
    <w:p w14:paraId="213A6275" w14:textId="77777777" w:rsidR="008D1B9C" w:rsidRDefault="008D1B9C" w:rsidP="008D1B9C">
      <w:pPr>
        <w:shd w:val="clear" w:color="auto" w:fill="FFFFFF"/>
        <w:contextualSpacing/>
        <w:jc w:val="center"/>
        <w:rPr>
          <w:rFonts w:asciiTheme="minorHAnsi" w:hAnsiTheme="minorHAnsi" w:cstheme="minorHAnsi"/>
          <w:color w:val="000000"/>
          <w:sz w:val="22"/>
          <w:szCs w:val="22"/>
        </w:rPr>
      </w:pPr>
    </w:p>
    <w:p w14:paraId="0F837FFF" w14:textId="77777777" w:rsidR="008D1B9C" w:rsidRDefault="008D1B9C" w:rsidP="008D1B9C">
      <w:pPr>
        <w:shd w:val="clear" w:color="auto" w:fill="FFFFFF"/>
        <w:contextualSpacing/>
        <w:jc w:val="both"/>
        <w:rPr>
          <w:rFonts w:asciiTheme="minorHAnsi" w:hAnsiTheme="minorHAnsi" w:cstheme="minorHAnsi"/>
          <w:color w:val="000000"/>
          <w:sz w:val="22"/>
          <w:szCs w:val="22"/>
        </w:rPr>
      </w:pPr>
    </w:p>
    <w:p w14:paraId="7579E1C9" w14:textId="755DF629" w:rsidR="00345B8C" w:rsidRPr="007647B4" w:rsidRDefault="008D1B9C" w:rsidP="008D1B9C">
      <w:pPr>
        <w:shd w:val="clear" w:color="auto" w:fill="FFFFFF"/>
        <w:contextualSpacing/>
        <w:jc w:val="both"/>
        <w:rPr>
          <w:rFonts w:asciiTheme="minorHAnsi" w:hAnsiTheme="minorHAnsi" w:cstheme="minorHAnsi"/>
          <w:color w:val="000000"/>
          <w:sz w:val="22"/>
          <w:szCs w:val="22"/>
        </w:rPr>
      </w:pPr>
      <w:r w:rsidRPr="007647B4">
        <w:rPr>
          <w:rFonts w:asciiTheme="minorHAnsi" w:hAnsiTheme="minorHAnsi" w:cstheme="minorHAnsi"/>
          <w:color w:val="000000"/>
          <w:sz w:val="22"/>
          <w:szCs w:val="22"/>
        </w:rPr>
        <w:t>Other cases which</w:t>
      </w:r>
      <w:r>
        <w:rPr>
          <w:rFonts w:asciiTheme="minorHAnsi" w:hAnsiTheme="minorHAnsi" w:cstheme="minorHAnsi"/>
          <w:color w:val="000000"/>
          <w:sz w:val="22"/>
          <w:szCs w:val="22"/>
        </w:rPr>
        <w:t xml:space="preserve"> </w:t>
      </w:r>
      <w:r w:rsidR="00A070FF" w:rsidRPr="007647B4">
        <w:rPr>
          <w:rFonts w:asciiTheme="minorHAnsi" w:hAnsiTheme="minorHAnsi" w:cstheme="minorHAnsi"/>
          <w:color w:val="000000"/>
          <w:sz w:val="22"/>
          <w:szCs w:val="22"/>
        </w:rPr>
        <w:t xml:space="preserve">they review </w:t>
      </w:r>
      <w:r w:rsidR="00F12532" w:rsidRPr="007647B4">
        <w:rPr>
          <w:rFonts w:asciiTheme="minorHAnsi" w:hAnsiTheme="minorHAnsi" w:cstheme="minorHAnsi"/>
          <w:color w:val="000000"/>
          <w:sz w:val="22"/>
          <w:szCs w:val="22"/>
        </w:rPr>
        <w:t>pres</w:t>
      </w:r>
      <w:r w:rsidR="00A070FF" w:rsidRPr="007647B4">
        <w:rPr>
          <w:rFonts w:asciiTheme="minorHAnsi" w:hAnsiTheme="minorHAnsi" w:cstheme="minorHAnsi"/>
          <w:color w:val="000000"/>
          <w:sz w:val="22"/>
          <w:szCs w:val="22"/>
        </w:rPr>
        <w:t>ented with symptoms as serious</w:t>
      </w:r>
      <w:r w:rsidR="00F12532" w:rsidRPr="007647B4">
        <w:rPr>
          <w:rFonts w:asciiTheme="minorHAnsi" w:hAnsiTheme="minorHAnsi" w:cstheme="minorHAnsi"/>
          <w:color w:val="000000"/>
          <w:sz w:val="22"/>
          <w:szCs w:val="22"/>
        </w:rPr>
        <w:t xml:space="preserve"> as coma and respiratory insufficiency.</w:t>
      </w:r>
      <w:r w:rsidR="00345B8C" w:rsidRPr="007647B4">
        <w:rPr>
          <w:rStyle w:val="FootnoteReference"/>
          <w:rFonts w:asciiTheme="minorHAnsi" w:hAnsiTheme="minorHAnsi" w:cstheme="minorHAnsi"/>
          <w:color w:val="000000"/>
          <w:sz w:val="22"/>
          <w:szCs w:val="22"/>
        </w:rPr>
        <w:footnoteReference w:id="143"/>
      </w:r>
      <w:r w:rsidR="00EE331A">
        <w:rPr>
          <w:rFonts w:asciiTheme="minorHAnsi" w:hAnsiTheme="minorHAnsi" w:cstheme="minorHAnsi"/>
          <w:color w:val="000000"/>
          <w:sz w:val="22"/>
          <w:szCs w:val="22"/>
        </w:rPr>
        <w:t xml:space="preserve">  Clearl</w:t>
      </w:r>
      <w:r w:rsidR="00A47FC2">
        <w:rPr>
          <w:rFonts w:asciiTheme="minorHAnsi" w:hAnsiTheme="minorHAnsi" w:cstheme="minorHAnsi"/>
          <w:color w:val="000000"/>
          <w:sz w:val="22"/>
          <w:szCs w:val="22"/>
        </w:rPr>
        <w:t>y</w:t>
      </w:r>
      <w:r w:rsidR="00EE331A">
        <w:rPr>
          <w:rFonts w:asciiTheme="minorHAnsi" w:hAnsiTheme="minorHAnsi" w:cstheme="minorHAnsi"/>
          <w:color w:val="000000"/>
          <w:sz w:val="22"/>
          <w:szCs w:val="22"/>
        </w:rPr>
        <w:t xml:space="preserve">, </w:t>
      </w:r>
      <w:r w:rsidR="00A070FF" w:rsidRPr="007647B4">
        <w:rPr>
          <w:rFonts w:asciiTheme="minorHAnsi" w:hAnsiTheme="minorHAnsi" w:cstheme="minorHAnsi"/>
          <w:color w:val="000000"/>
          <w:sz w:val="22"/>
          <w:szCs w:val="22"/>
        </w:rPr>
        <w:t>allegations by the cannabis industry</w:t>
      </w:r>
      <w:r w:rsidR="00EE331A">
        <w:rPr>
          <w:rFonts w:asciiTheme="minorHAnsi" w:hAnsiTheme="minorHAnsi" w:cstheme="minorHAnsi"/>
          <w:color w:val="000000"/>
          <w:sz w:val="22"/>
          <w:szCs w:val="22"/>
        </w:rPr>
        <w:t xml:space="preserve">, heard extensively at </w:t>
      </w:r>
      <w:proofErr w:type="gramStart"/>
      <w:r w:rsidR="00A47FC2">
        <w:rPr>
          <w:rFonts w:asciiTheme="minorHAnsi" w:hAnsiTheme="minorHAnsi" w:cstheme="minorHAnsi"/>
          <w:color w:val="000000"/>
          <w:sz w:val="22"/>
          <w:szCs w:val="22"/>
        </w:rPr>
        <w:t>hearings</w:t>
      </w:r>
      <w:r w:rsidR="00EE331A">
        <w:rPr>
          <w:rFonts w:asciiTheme="minorHAnsi" w:hAnsiTheme="minorHAnsi" w:cstheme="minorHAnsi"/>
          <w:color w:val="000000"/>
          <w:sz w:val="22"/>
          <w:szCs w:val="22"/>
        </w:rPr>
        <w:t xml:space="preserve">, </w:t>
      </w:r>
      <w:r w:rsidR="00A070FF" w:rsidRPr="007647B4">
        <w:rPr>
          <w:rFonts w:asciiTheme="minorHAnsi" w:hAnsiTheme="minorHAnsi" w:cstheme="minorHAnsi"/>
          <w:color w:val="000000"/>
          <w:sz w:val="22"/>
          <w:szCs w:val="22"/>
        </w:rPr>
        <w:t xml:space="preserve"> that</w:t>
      </w:r>
      <w:proofErr w:type="gramEnd"/>
      <w:r w:rsidR="00A070FF" w:rsidRPr="007647B4">
        <w:rPr>
          <w:rFonts w:asciiTheme="minorHAnsi" w:hAnsiTheme="minorHAnsi" w:cstheme="minorHAnsi"/>
          <w:color w:val="000000"/>
          <w:sz w:val="22"/>
          <w:szCs w:val="22"/>
        </w:rPr>
        <w:t xml:space="preserve"> the need for childproof packaging is exaggerated and a waste of material</w:t>
      </w:r>
      <w:r w:rsidR="00A47FC2">
        <w:rPr>
          <w:rFonts w:asciiTheme="minorHAnsi" w:hAnsiTheme="minorHAnsi" w:cstheme="minorHAnsi"/>
          <w:color w:val="000000"/>
          <w:sz w:val="22"/>
          <w:szCs w:val="22"/>
        </w:rPr>
        <w:t>,</w:t>
      </w:r>
      <w:r w:rsidR="00D32EBA" w:rsidRPr="007647B4">
        <w:rPr>
          <w:rFonts w:asciiTheme="minorHAnsi" w:hAnsiTheme="minorHAnsi" w:cstheme="minorHAnsi"/>
          <w:color w:val="000000"/>
          <w:sz w:val="22"/>
          <w:szCs w:val="22"/>
        </w:rPr>
        <w:t xml:space="preserve"> ignore the growing body of evidence </w:t>
      </w:r>
      <w:r w:rsidR="00EE331A">
        <w:rPr>
          <w:rFonts w:asciiTheme="minorHAnsi" w:hAnsiTheme="minorHAnsi" w:cstheme="minorHAnsi"/>
          <w:color w:val="000000"/>
          <w:sz w:val="22"/>
          <w:szCs w:val="22"/>
        </w:rPr>
        <w:t xml:space="preserve">from the pediatric and emergency medicine literature </w:t>
      </w:r>
      <w:r w:rsidR="00D32EBA" w:rsidRPr="007647B4">
        <w:rPr>
          <w:rFonts w:asciiTheme="minorHAnsi" w:hAnsiTheme="minorHAnsi" w:cstheme="minorHAnsi"/>
          <w:color w:val="000000"/>
          <w:sz w:val="22"/>
          <w:szCs w:val="22"/>
        </w:rPr>
        <w:t>of more frequent and significant pediatric ingestions. While no</w:t>
      </w:r>
      <w:r w:rsidR="00EE331A">
        <w:rPr>
          <w:rFonts w:asciiTheme="minorHAnsi" w:hAnsiTheme="minorHAnsi" w:cstheme="minorHAnsi"/>
          <w:color w:val="000000"/>
          <w:sz w:val="22"/>
          <w:szCs w:val="22"/>
        </w:rPr>
        <w:t xml:space="preserve"> </w:t>
      </w:r>
      <w:proofErr w:type="gramStart"/>
      <w:r w:rsidR="00EE331A">
        <w:rPr>
          <w:rFonts w:asciiTheme="minorHAnsi" w:hAnsiTheme="minorHAnsi" w:cstheme="minorHAnsi"/>
          <w:color w:val="000000"/>
          <w:sz w:val="22"/>
          <w:szCs w:val="22"/>
        </w:rPr>
        <w:t xml:space="preserve">pediatric </w:t>
      </w:r>
      <w:r w:rsidR="00D32EBA" w:rsidRPr="007647B4">
        <w:rPr>
          <w:rFonts w:asciiTheme="minorHAnsi" w:hAnsiTheme="minorHAnsi" w:cstheme="minorHAnsi"/>
          <w:color w:val="000000"/>
          <w:sz w:val="22"/>
          <w:szCs w:val="22"/>
        </w:rPr>
        <w:t xml:space="preserve"> deaths</w:t>
      </w:r>
      <w:proofErr w:type="gramEnd"/>
      <w:r w:rsidR="00D32EBA" w:rsidRPr="007647B4">
        <w:rPr>
          <w:rFonts w:asciiTheme="minorHAnsi" w:hAnsiTheme="minorHAnsi" w:cstheme="minorHAnsi"/>
          <w:color w:val="000000"/>
          <w:sz w:val="22"/>
          <w:szCs w:val="22"/>
        </w:rPr>
        <w:t xml:space="preserve"> from direct toxicity have </w:t>
      </w:r>
      <w:r w:rsidR="00EE331A">
        <w:rPr>
          <w:rFonts w:asciiTheme="minorHAnsi" w:hAnsiTheme="minorHAnsi" w:cstheme="minorHAnsi"/>
          <w:color w:val="000000"/>
          <w:sz w:val="22"/>
          <w:szCs w:val="22"/>
        </w:rPr>
        <w:t>yet been</w:t>
      </w:r>
      <w:r w:rsidR="00D32EBA" w:rsidRPr="007647B4">
        <w:rPr>
          <w:rFonts w:asciiTheme="minorHAnsi" w:hAnsiTheme="minorHAnsi" w:cstheme="minorHAnsi"/>
          <w:color w:val="000000"/>
          <w:sz w:val="22"/>
          <w:szCs w:val="22"/>
        </w:rPr>
        <w:t xml:space="preserve"> reported</w:t>
      </w:r>
      <w:r w:rsidR="00EE331A">
        <w:rPr>
          <w:rFonts w:asciiTheme="minorHAnsi" w:hAnsiTheme="minorHAnsi" w:cstheme="minorHAnsi"/>
          <w:color w:val="000000"/>
          <w:sz w:val="22"/>
          <w:szCs w:val="22"/>
        </w:rPr>
        <w:t>, if</w:t>
      </w:r>
      <w:r w:rsidR="00D32EBA" w:rsidRPr="007647B4">
        <w:rPr>
          <w:rFonts w:asciiTheme="minorHAnsi" w:hAnsiTheme="minorHAnsi" w:cstheme="minorHAnsi"/>
          <w:color w:val="000000"/>
          <w:sz w:val="22"/>
          <w:szCs w:val="22"/>
        </w:rPr>
        <w:t xml:space="preserve"> children </w:t>
      </w:r>
      <w:r w:rsidR="00EE331A">
        <w:rPr>
          <w:rFonts w:asciiTheme="minorHAnsi" w:hAnsiTheme="minorHAnsi" w:cstheme="minorHAnsi"/>
          <w:color w:val="000000"/>
          <w:sz w:val="22"/>
          <w:szCs w:val="22"/>
        </w:rPr>
        <w:t xml:space="preserve">already </w:t>
      </w:r>
      <w:r w:rsidR="00D32EBA" w:rsidRPr="007647B4">
        <w:rPr>
          <w:rFonts w:asciiTheme="minorHAnsi" w:hAnsiTheme="minorHAnsi" w:cstheme="minorHAnsi"/>
          <w:color w:val="000000"/>
          <w:sz w:val="22"/>
          <w:szCs w:val="22"/>
        </w:rPr>
        <w:t>need to be intubated, it is clear that this will eventually occur.</w:t>
      </w:r>
    </w:p>
    <w:p w14:paraId="608C9B7A" w14:textId="0D35762F" w:rsidR="00345B8C" w:rsidRPr="007647B4" w:rsidRDefault="00345B8C" w:rsidP="00345B8C">
      <w:pPr>
        <w:shd w:val="clear" w:color="auto" w:fill="FFFFFF"/>
        <w:rPr>
          <w:rFonts w:asciiTheme="minorHAnsi" w:hAnsiTheme="minorHAnsi" w:cstheme="minorHAnsi"/>
          <w:color w:val="000000"/>
          <w:sz w:val="22"/>
          <w:szCs w:val="22"/>
        </w:rPr>
      </w:pPr>
    </w:p>
    <w:p w14:paraId="32839648" w14:textId="6D75A6DD" w:rsidR="00EE331A" w:rsidRPr="00CA75B3" w:rsidRDefault="00EE331A" w:rsidP="00EE331A">
      <w:pPr>
        <w:pStyle w:val="Heading6"/>
        <w:shd w:val="clear" w:color="auto" w:fill="FFFFFF"/>
        <w:spacing w:before="0"/>
        <w:jc w:val="both"/>
        <w:textAlignment w:val="baseline"/>
        <w:rPr>
          <w:rFonts w:asciiTheme="minorHAnsi" w:eastAsia="Times New Roman" w:hAnsiTheme="minorHAnsi" w:cstheme="minorHAnsi"/>
          <w:b/>
          <w:bCs/>
          <w:color w:val="000000"/>
          <w:sz w:val="22"/>
          <w:szCs w:val="22"/>
        </w:rPr>
      </w:pPr>
      <w:r w:rsidRPr="00CA75B3">
        <w:rPr>
          <w:rFonts w:asciiTheme="minorHAnsi" w:hAnsiTheme="minorHAnsi" w:cstheme="minorHAnsi"/>
          <w:b/>
          <w:color w:val="000000" w:themeColor="text1"/>
          <w:sz w:val="22"/>
          <w:szCs w:val="22"/>
        </w:rPr>
        <w:t>Given the growing body of epidemiologic evidence of increasing numbers of pediatric poisonings, including those exhibiting clinically dangerous presentation</w:t>
      </w:r>
      <w:r w:rsidR="007647B4">
        <w:rPr>
          <w:rFonts w:asciiTheme="minorHAnsi" w:hAnsiTheme="minorHAnsi" w:cstheme="minorHAnsi"/>
          <w:b/>
          <w:color w:val="000000" w:themeColor="text1"/>
          <w:sz w:val="22"/>
          <w:szCs w:val="22"/>
        </w:rPr>
        <w:t>s</w:t>
      </w:r>
      <w:r w:rsidRPr="00CA75B3">
        <w:rPr>
          <w:rFonts w:asciiTheme="minorHAnsi" w:hAnsiTheme="minorHAnsi" w:cstheme="minorHAnsi"/>
          <w:b/>
          <w:color w:val="000000" w:themeColor="text1"/>
          <w:sz w:val="22"/>
          <w:szCs w:val="22"/>
        </w:rPr>
        <w:t xml:space="preserve"> of seizures, respiratory insufficiency and coma, </w:t>
      </w:r>
      <w:proofErr w:type="gramStart"/>
      <w:r w:rsidRPr="00CA75B3">
        <w:rPr>
          <w:rFonts w:asciiTheme="minorHAnsi" w:hAnsiTheme="minorHAnsi" w:cstheme="minorHAnsi"/>
          <w:b/>
          <w:color w:val="000000" w:themeColor="text1"/>
          <w:sz w:val="22"/>
          <w:szCs w:val="22"/>
        </w:rPr>
        <w:t xml:space="preserve">we </w:t>
      </w:r>
      <w:r w:rsidRPr="00CA75B3">
        <w:rPr>
          <w:rFonts w:asciiTheme="minorHAnsi" w:eastAsia="Times New Roman" w:hAnsiTheme="minorHAnsi" w:cstheme="minorHAnsi"/>
          <w:b/>
          <w:color w:val="000000" w:themeColor="text1"/>
          <w:sz w:val="22"/>
          <w:szCs w:val="22"/>
        </w:rPr>
        <w:t xml:space="preserve"> </w:t>
      </w:r>
      <w:r w:rsidRPr="00CA75B3">
        <w:rPr>
          <w:rFonts w:asciiTheme="minorHAnsi" w:hAnsiTheme="minorHAnsi" w:cstheme="minorHAnsi"/>
          <w:b/>
          <w:color w:val="000000" w:themeColor="text1"/>
          <w:sz w:val="22"/>
          <w:szCs w:val="22"/>
        </w:rPr>
        <w:t>cannot</w:t>
      </w:r>
      <w:proofErr w:type="gramEnd"/>
      <w:r w:rsidRPr="00CA75B3">
        <w:rPr>
          <w:rFonts w:asciiTheme="minorHAnsi" w:hAnsiTheme="minorHAnsi" w:cstheme="minorHAnsi"/>
          <w:b/>
          <w:color w:val="000000" w:themeColor="text1"/>
          <w:sz w:val="22"/>
          <w:szCs w:val="22"/>
        </w:rPr>
        <w:t xml:space="preserve"> too </w:t>
      </w:r>
      <w:r w:rsidRPr="00CA75B3">
        <w:rPr>
          <w:rFonts w:asciiTheme="minorHAnsi" w:eastAsia="Times New Roman" w:hAnsiTheme="minorHAnsi" w:cstheme="minorHAnsi"/>
          <w:b/>
          <w:color w:val="000000" w:themeColor="text1"/>
          <w:sz w:val="22"/>
          <w:szCs w:val="22"/>
        </w:rPr>
        <w:t xml:space="preserve">strongly recommend returning this requirement to the regulations to offer </w:t>
      </w:r>
      <w:r w:rsidRPr="00CA75B3">
        <w:rPr>
          <w:rFonts w:asciiTheme="minorHAnsi" w:hAnsiTheme="minorHAnsi" w:cstheme="minorHAnsi"/>
          <w:b/>
          <w:color w:val="000000" w:themeColor="text1"/>
          <w:sz w:val="22"/>
          <w:szCs w:val="22"/>
        </w:rPr>
        <w:t xml:space="preserve">the minimum required </w:t>
      </w:r>
      <w:r w:rsidRPr="00CA75B3">
        <w:rPr>
          <w:rFonts w:asciiTheme="minorHAnsi" w:eastAsia="Times New Roman" w:hAnsiTheme="minorHAnsi" w:cstheme="minorHAnsi"/>
          <w:b/>
          <w:color w:val="000000" w:themeColor="text1"/>
          <w:sz w:val="22"/>
          <w:szCs w:val="22"/>
        </w:rPr>
        <w:t xml:space="preserve">protection to children who </w:t>
      </w:r>
      <w:r w:rsidR="003D3007">
        <w:rPr>
          <w:rFonts w:asciiTheme="minorHAnsi" w:eastAsia="Times New Roman" w:hAnsiTheme="minorHAnsi" w:cstheme="minorHAnsi"/>
          <w:b/>
          <w:color w:val="000000" w:themeColor="text1"/>
          <w:sz w:val="22"/>
          <w:szCs w:val="22"/>
        </w:rPr>
        <w:t>may</w:t>
      </w:r>
      <w:r w:rsidRPr="00CA75B3">
        <w:rPr>
          <w:rFonts w:asciiTheme="minorHAnsi" w:eastAsia="Times New Roman" w:hAnsiTheme="minorHAnsi" w:cstheme="minorHAnsi"/>
          <w:b/>
          <w:color w:val="000000" w:themeColor="text1"/>
          <w:sz w:val="22"/>
          <w:szCs w:val="22"/>
        </w:rPr>
        <w:t xml:space="preserve"> come into contact </w:t>
      </w:r>
      <w:r w:rsidR="007647B4">
        <w:rPr>
          <w:rFonts w:asciiTheme="minorHAnsi" w:eastAsia="Times New Roman" w:hAnsiTheme="minorHAnsi" w:cstheme="minorHAnsi"/>
          <w:b/>
          <w:color w:val="000000" w:themeColor="text1"/>
          <w:sz w:val="22"/>
          <w:szCs w:val="22"/>
        </w:rPr>
        <w:t xml:space="preserve">accidentally </w:t>
      </w:r>
      <w:r w:rsidRPr="00CA75B3">
        <w:rPr>
          <w:rFonts w:asciiTheme="minorHAnsi" w:eastAsia="Times New Roman" w:hAnsiTheme="minorHAnsi" w:cstheme="minorHAnsi"/>
          <w:b/>
          <w:color w:val="000000" w:themeColor="text1"/>
          <w:sz w:val="22"/>
          <w:szCs w:val="22"/>
        </w:rPr>
        <w:t xml:space="preserve">with cannabis products. </w:t>
      </w:r>
    </w:p>
    <w:p w14:paraId="62DE456B" w14:textId="77777777" w:rsidR="00485764" w:rsidRPr="007647B4" w:rsidRDefault="00485764" w:rsidP="003B2510">
      <w:pPr>
        <w:jc w:val="both"/>
        <w:rPr>
          <w:rFonts w:asciiTheme="minorHAnsi" w:hAnsiTheme="minorHAnsi" w:cstheme="minorHAnsi"/>
          <w:b/>
          <w:color w:val="000000" w:themeColor="text1"/>
          <w:sz w:val="22"/>
          <w:szCs w:val="22"/>
        </w:rPr>
      </w:pPr>
    </w:p>
    <w:p w14:paraId="5970E0EC" w14:textId="6210900F" w:rsidR="00CB1EF0" w:rsidRPr="007647B4" w:rsidRDefault="00A070FF"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The proposed regulations (§ 40415) </w:t>
      </w:r>
      <w:r w:rsidR="007647B4">
        <w:rPr>
          <w:rFonts w:asciiTheme="minorHAnsi" w:hAnsiTheme="minorHAnsi" w:cstheme="minorHAnsi"/>
          <w:color w:val="000000" w:themeColor="text1"/>
          <w:sz w:val="22"/>
          <w:szCs w:val="22"/>
        </w:rPr>
        <w:t xml:space="preserve">also </w:t>
      </w:r>
      <w:r w:rsidRPr="007647B4">
        <w:rPr>
          <w:rFonts w:asciiTheme="minorHAnsi" w:hAnsiTheme="minorHAnsi" w:cstheme="minorHAnsi"/>
          <w:color w:val="000000" w:themeColor="text1"/>
          <w:sz w:val="22"/>
          <w:szCs w:val="22"/>
        </w:rPr>
        <w:t xml:space="preserve">require cannabis product packaging to be tamper-evident, and opaque (for edibles), but do not restrict colors, logos, or branding. </w:t>
      </w:r>
      <w:r w:rsidR="006D5370" w:rsidRPr="007647B4">
        <w:rPr>
          <w:rFonts w:asciiTheme="minorHAnsi" w:hAnsiTheme="minorHAnsi" w:cstheme="minorHAnsi"/>
          <w:color w:val="000000" w:themeColor="text1"/>
          <w:sz w:val="22"/>
          <w:szCs w:val="22"/>
        </w:rPr>
        <w:t xml:space="preserve">Regarding </w:t>
      </w:r>
      <w:r w:rsidRPr="007647B4">
        <w:rPr>
          <w:rFonts w:asciiTheme="minorHAnsi" w:hAnsiTheme="minorHAnsi" w:cstheme="minorHAnsi"/>
          <w:color w:val="000000" w:themeColor="text1"/>
          <w:sz w:val="22"/>
          <w:szCs w:val="22"/>
        </w:rPr>
        <w:t xml:space="preserve">these </w:t>
      </w:r>
      <w:r w:rsidR="006D5370" w:rsidRPr="007647B4">
        <w:rPr>
          <w:rFonts w:asciiTheme="minorHAnsi" w:hAnsiTheme="minorHAnsi" w:cstheme="minorHAnsi"/>
          <w:color w:val="000000" w:themeColor="text1"/>
          <w:sz w:val="22"/>
          <w:szCs w:val="22"/>
        </w:rPr>
        <w:t xml:space="preserve">other aspects of packaging, </w:t>
      </w:r>
      <w:r w:rsidRPr="007647B4">
        <w:rPr>
          <w:rFonts w:asciiTheme="minorHAnsi" w:hAnsiTheme="minorHAnsi" w:cstheme="minorHAnsi"/>
          <w:color w:val="000000" w:themeColor="text1"/>
          <w:sz w:val="22"/>
          <w:szCs w:val="22"/>
        </w:rPr>
        <w:t>it is well known that t</w:t>
      </w:r>
      <w:r w:rsidR="00CB1EF0" w:rsidRPr="007647B4">
        <w:rPr>
          <w:rFonts w:asciiTheme="minorHAnsi" w:hAnsiTheme="minorHAnsi" w:cstheme="minorHAnsi"/>
          <w:color w:val="000000" w:themeColor="text1"/>
          <w:sz w:val="22"/>
          <w:szCs w:val="22"/>
        </w:rPr>
        <w:t>obacco companies use packaging as a marketing tool to bypass other marketing restrictions</w:t>
      </w:r>
      <w:r w:rsidR="00DC723F" w:rsidRPr="007647B4">
        <w:rPr>
          <w:rFonts w:asciiTheme="minorHAnsi" w:hAnsiTheme="minorHAnsi" w:cstheme="minorHAnsi"/>
          <w:color w:val="000000" w:themeColor="text1"/>
          <w:sz w:val="22"/>
          <w:szCs w:val="22"/>
        </w:rPr>
        <w:t>,</w:t>
      </w:r>
      <w:r w:rsidR="00DC723F" w:rsidRPr="007647B4">
        <w:rPr>
          <w:rStyle w:val="FootnoteReference"/>
          <w:rFonts w:asciiTheme="minorHAnsi" w:hAnsiTheme="minorHAnsi" w:cstheme="minorHAnsi"/>
          <w:color w:val="000000" w:themeColor="text1"/>
          <w:sz w:val="22"/>
          <w:szCs w:val="22"/>
        </w:rPr>
        <w:footnoteReference w:id="144"/>
      </w:r>
      <w:r w:rsidR="00CB1EF0" w:rsidRPr="007647B4">
        <w:rPr>
          <w:rFonts w:asciiTheme="minorHAnsi" w:hAnsiTheme="minorHAnsi" w:cstheme="minorHAnsi"/>
          <w:color w:val="000000" w:themeColor="text1"/>
          <w:sz w:val="22"/>
          <w:szCs w:val="22"/>
        </w:rPr>
        <w:t xml:space="preserve"> establishing brand identification among youth, young adults, and other target populations</w:t>
      </w:r>
      <w:r w:rsidR="00DC723F" w:rsidRPr="007647B4">
        <w:rPr>
          <w:rFonts w:asciiTheme="minorHAnsi" w:hAnsiTheme="minorHAnsi" w:cstheme="minorHAnsi"/>
          <w:color w:val="000000" w:themeColor="text1"/>
          <w:sz w:val="22"/>
          <w:szCs w:val="22"/>
        </w:rPr>
        <w:t>.</w:t>
      </w:r>
      <w:r w:rsidR="00DC723F" w:rsidRPr="007647B4">
        <w:rPr>
          <w:rStyle w:val="FootnoteReference"/>
          <w:rFonts w:asciiTheme="minorHAnsi" w:hAnsiTheme="minorHAnsi" w:cstheme="minorHAnsi"/>
          <w:color w:val="000000" w:themeColor="text1"/>
          <w:sz w:val="22"/>
          <w:szCs w:val="22"/>
        </w:rPr>
        <w:footnoteReference w:id="145"/>
      </w:r>
      <w:r w:rsidR="00CB1EF0" w:rsidRPr="007647B4">
        <w:rPr>
          <w:rFonts w:asciiTheme="minorHAnsi" w:hAnsiTheme="minorHAnsi" w:cstheme="minorHAnsi"/>
          <w:color w:val="000000" w:themeColor="text1"/>
          <w:sz w:val="22"/>
          <w:szCs w:val="22"/>
        </w:rPr>
        <w:t xml:space="preserve"> The youth marketing effect of package branding is powerful at in-store displays</w:t>
      </w:r>
      <w:r w:rsidR="00DC723F" w:rsidRPr="007647B4">
        <w:rPr>
          <w:rFonts w:asciiTheme="minorHAnsi" w:hAnsiTheme="minorHAnsi" w:cstheme="minorHAnsi"/>
          <w:color w:val="000000" w:themeColor="text1"/>
          <w:sz w:val="22"/>
          <w:szCs w:val="22"/>
        </w:rPr>
        <w:t>,</w:t>
      </w:r>
      <w:r w:rsidR="00CB1EF0" w:rsidRPr="007647B4">
        <w:rPr>
          <w:rFonts w:asciiTheme="minorHAnsi" w:hAnsiTheme="minorHAnsi" w:cstheme="minorHAnsi"/>
          <w:color w:val="000000" w:themeColor="text1"/>
          <w:sz w:val="22"/>
          <w:szCs w:val="22"/>
        </w:rPr>
        <w:t xml:space="preserve"> </w:t>
      </w:r>
      <w:r w:rsidR="00DC723F" w:rsidRPr="007647B4">
        <w:rPr>
          <w:rStyle w:val="FootnoteReference"/>
          <w:rFonts w:asciiTheme="minorHAnsi" w:hAnsiTheme="minorHAnsi" w:cstheme="minorHAnsi"/>
          <w:color w:val="000000" w:themeColor="text1"/>
          <w:sz w:val="22"/>
          <w:szCs w:val="22"/>
        </w:rPr>
        <w:footnoteReference w:id="146"/>
      </w:r>
      <w:r w:rsidR="00CB1EF0" w:rsidRPr="007647B4">
        <w:rPr>
          <w:rFonts w:asciiTheme="minorHAnsi" w:hAnsiTheme="minorHAnsi" w:cstheme="minorHAnsi"/>
          <w:color w:val="000000" w:themeColor="text1"/>
          <w:sz w:val="22"/>
          <w:szCs w:val="22"/>
        </w:rPr>
        <w:t xml:space="preserve"> but extends beyond retailers. </w:t>
      </w:r>
      <w:r w:rsidR="00CB1EF0" w:rsidRPr="007647B4">
        <w:rPr>
          <w:rFonts w:asciiTheme="minorHAnsi" w:hAnsiTheme="minorHAnsi" w:cstheme="minorHAnsi"/>
          <w:b/>
          <w:color w:val="000000" w:themeColor="text1"/>
          <w:sz w:val="22"/>
          <w:szCs w:val="22"/>
        </w:rPr>
        <w:t>For example, when an adult purchases a product, children at home will likely see the branded package.</w:t>
      </w:r>
      <w:r w:rsidR="00CB1EF0" w:rsidRPr="007647B4">
        <w:rPr>
          <w:rFonts w:asciiTheme="minorHAnsi" w:hAnsiTheme="minorHAnsi" w:cstheme="minorHAnsi"/>
          <w:color w:val="000000" w:themeColor="text1"/>
          <w:sz w:val="22"/>
          <w:szCs w:val="22"/>
        </w:rPr>
        <w:t xml:space="preserve"> For tobacco, WHO recommends</w:t>
      </w:r>
      <w:r w:rsidR="00DC723F" w:rsidRPr="007647B4">
        <w:rPr>
          <w:rStyle w:val="FootnoteReference"/>
          <w:rFonts w:asciiTheme="minorHAnsi" w:hAnsiTheme="minorHAnsi" w:cstheme="minorHAnsi"/>
          <w:color w:val="000000" w:themeColor="text1"/>
          <w:sz w:val="22"/>
          <w:szCs w:val="22"/>
        </w:rPr>
        <w:footnoteReference w:id="147"/>
      </w:r>
      <w:r w:rsidR="00CB1EF0" w:rsidRPr="007647B4">
        <w:rPr>
          <w:rFonts w:asciiTheme="minorHAnsi" w:hAnsiTheme="minorHAnsi" w:cstheme="minorHAnsi"/>
          <w:color w:val="000000" w:themeColor="text1"/>
          <w:sz w:val="22"/>
          <w:szCs w:val="22"/>
        </w:rPr>
        <w:t xml:space="preserve"> fully standardized “plain packaging” free of logos, colors, and branding, allowing only plain text brand and variant information in specified size, font, and position</w:t>
      </w:r>
      <w:r w:rsidR="00DC723F" w:rsidRPr="007647B4">
        <w:rPr>
          <w:rFonts w:asciiTheme="minorHAnsi" w:hAnsiTheme="minorHAnsi" w:cstheme="minorHAnsi"/>
          <w:color w:val="000000" w:themeColor="text1"/>
          <w:sz w:val="22"/>
          <w:szCs w:val="22"/>
        </w:rPr>
        <w:t>.</w:t>
      </w:r>
      <w:r w:rsidR="00DC723F" w:rsidRPr="007647B4">
        <w:rPr>
          <w:rStyle w:val="FootnoteReference"/>
          <w:rFonts w:asciiTheme="minorHAnsi" w:hAnsiTheme="minorHAnsi" w:cstheme="minorHAnsi"/>
          <w:color w:val="000000" w:themeColor="text1"/>
          <w:sz w:val="22"/>
          <w:szCs w:val="22"/>
        </w:rPr>
        <w:footnoteReference w:id="148"/>
      </w:r>
      <w:r w:rsidR="002F3B3D" w:rsidRPr="007647B4">
        <w:rPr>
          <w:rFonts w:asciiTheme="minorHAnsi" w:hAnsiTheme="minorHAnsi" w:cstheme="minorHAnsi"/>
          <w:color w:val="000000" w:themeColor="text1"/>
          <w:sz w:val="22"/>
          <w:szCs w:val="22"/>
          <w:vertAlign w:val="superscript"/>
        </w:rPr>
        <w:t>,</w:t>
      </w:r>
      <w:r w:rsidR="00DC723F" w:rsidRPr="007647B4">
        <w:rPr>
          <w:rStyle w:val="FootnoteReference"/>
          <w:rFonts w:asciiTheme="minorHAnsi" w:hAnsiTheme="minorHAnsi" w:cstheme="minorHAnsi"/>
          <w:color w:val="000000" w:themeColor="text1"/>
          <w:sz w:val="22"/>
          <w:szCs w:val="22"/>
        </w:rPr>
        <w:footnoteReference w:id="149"/>
      </w:r>
      <w:r w:rsidR="002F3B3D" w:rsidRPr="007647B4">
        <w:rPr>
          <w:rFonts w:asciiTheme="minorHAnsi" w:hAnsiTheme="minorHAnsi" w:cstheme="minorHAnsi"/>
          <w:color w:val="000000" w:themeColor="text1"/>
          <w:sz w:val="22"/>
          <w:szCs w:val="22"/>
          <w:vertAlign w:val="superscript"/>
        </w:rPr>
        <w:t>,</w:t>
      </w:r>
      <w:r w:rsidR="00DC723F" w:rsidRPr="007647B4">
        <w:rPr>
          <w:rStyle w:val="FootnoteReference"/>
          <w:rFonts w:asciiTheme="minorHAnsi" w:hAnsiTheme="minorHAnsi" w:cstheme="minorHAnsi"/>
          <w:color w:val="000000" w:themeColor="text1"/>
          <w:sz w:val="22"/>
          <w:szCs w:val="22"/>
        </w:rPr>
        <w:footnoteReference w:id="150"/>
      </w:r>
    </w:p>
    <w:p w14:paraId="48A5E257" w14:textId="5A71B47F" w:rsidR="00CB1EF0" w:rsidRPr="007647B4" w:rsidRDefault="00CB1EF0" w:rsidP="003B2510">
      <w:pPr>
        <w:jc w:val="both"/>
        <w:rPr>
          <w:rFonts w:asciiTheme="minorHAnsi" w:hAnsiTheme="minorHAnsi" w:cstheme="minorHAnsi"/>
          <w:color w:val="000000" w:themeColor="text1"/>
          <w:sz w:val="22"/>
          <w:szCs w:val="22"/>
        </w:rPr>
      </w:pPr>
    </w:p>
    <w:p w14:paraId="5BC35630" w14:textId="30736864" w:rsidR="00CB1EF0" w:rsidRPr="007647B4" w:rsidRDefault="00CB1EF0"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Plain cigarette packaging is associated with reduced brand awareness and identification</w:t>
      </w:r>
      <w:r w:rsidR="00DC723F" w:rsidRPr="007647B4">
        <w:rPr>
          <w:rStyle w:val="FootnoteReference"/>
          <w:rFonts w:asciiTheme="minorHAnsi" w:hAnsiTheme="minorHAnsi" w:cstheme="minorHAnsi"/>
          <w:color w:val="000000" w:themeColor="text1"/>
          <w:sz w:val="22"/>
          <w:szCs w:val="22"/>
        </w:rPr>
        <w:footnoteReference w:id="151"/>
      </w:r>
      <w:r w:rsidR="00DC723F"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and reduced appeal of cigarettes to adolescents and young adults</w:t>
      </w:r>
      <w:r w:rsidR="0025383F" w:rsidRPr="007647B4">
        <w:rPr>
          <w:rFonts w:asciiTheme="minorHAnsi" w:hAnsiTheme="minorHAnsi" w:cstheme="minorHAnsi"/>
          <w:color w:val="000000" w:themeColor="text1"/>
          <w:sz w:val="22"/>
          <w:szCs w:val="22"/>
        </w:rPr>
        <w:t>.</w:t>
      </w:r>
      <w:r w:rsidR="00DC723F" w:rsidRPr="007647B4">
        <w:rPr>
          <w:rStyle w:val="FootnoteReference"/>
          <w:rFonts w:asciiTheme="minorHAnsi" w:hAnsiTheme="minorHAnsi" w:cstheme="minorHAnsi"/>
          <w:color w:val="000000" w:themeColor="text1"/>
          <w:sz w:val="22"/>
          <w:szCs w:val="22"/>
        </w:rPr>
        <w:footnoteReference w:id="152"/>
      </w:r>
      <w:r w:rsidR="002F3B3D" w:rsidRPr="007647B4">
        <w:rPr>
          <w:rFonts w:asciiTheme="minorHAnsi" w:hAnsiTheme="minorHAnsi" w:cstheme="minorHAnsi"/>
          <w:color w:val="000000" w:themeColor="text1"/>
          <w:sz w:val="22"/>
          <w:szCs w:val="22"/>
          <w:vertAlign w:val="superscript"/>
        </w:rPr>
        <w:t>,</w:t>
      </w:r>
      <w:r w:rsidR="00DC723F" w:rsidRPr="007647B4">
        <w:rPr>
          <w:rStyle w:val="FootnoteReference"/>
          <w:rFonts w:asciiTheme="minorHAnsi" w:hAnsiTheme="minorHAnsi" w:cstheme="minorHAnsi"/>
          <w:color w:val="000000" w:themeColor="text1"/>
          <w:sz w:val="22"/>
          <w:szCs w:val="22"/>
        </w:rPr>
        <w:footnoteReference w:id="153"/>
      </w:r>
      <w:r w:rsidR="002F3B3D" w:rsidRPr="007647B4">
        <w:rPr>
          <w:rFonts w:asciiTheme="minorHAnsi" w:hAnsiTheme="minorHAnsi" w:cstheme="minorHAnsi"/>
          <w:color w:val="000000" w:themeColor="text1"/>
          <w:sz w:val="22"/>
          <w:szCs w:val="22"/>
          <w:vertAlign w:val="superscript"/>
        </w:rPr>
        <w:t>,</w:t>
      </w:r>
      <w:r w:rsidR="00DC723F" w:rsidRPr="007647B4">
        <w:rPr>
          <w:rStyle w:val="FootnoteReference"/>
          <w:rFonts w:asciiTheme="minorHAnsi" w:hAnsiTheme="minorHAnsi" w:cstheme="minorHAnsi"/>
          <w:color w:val="000000" w:themeColor="text1"/>
          <w:sz w:val="22"/>
          <w:szCs w:val="22"/>
        </w:rPr>
        <w:footnoteReference w:id="154"/>
      </w:r>
      <w:r w:rsidR="002F3B3D" w:rsidRPr="007647B4">
        <w:rPr>
          <w:rFonts w:asciiTheme="minorHAnsi" w:hAnsiTheme="minorHAnsi" w:cstheme="minorHAnsi"/>
          <w:color w:val="000000" w:themeColor="text1"/>
          <w:sz w:val="22"/>
          <w:szCs w:val="22"/>
          <w:vertAlign w:val="superscript"/>
        </w:rPr>
        <w:t>,</w:t>
      </w:r>
      <w:r w:rsidR="00DC723F" w:rsidRPr="007647B4">
        <w:rPr>
          <w:rStyle w:val="FootnoteReference"/>
          <w:rFonts w:asciiTheme="minorHAnsi" w:hAnsiTheme="minorHAnsi" w:cstheme="minorHAnsi"/>
          <w:color w:val="000000" w:themeColor="text1"/>
          <w:sz w:val="22"/>
          <w:szCs w:val="22"/>
        </w:rPr>
        <w:footnoteReference w:id="155"/>
      </w:r>
      <w:r w:rsidR="00DC723F"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Plain packaging also makes health warnings more noticeable and effective</w:t>
      </w:r>
      <w:r w:rsidR="00DC723F" w:rsidRPr="007647B4">
        <w:rPr>
          <w:rStyle w:val="FootnoteReference"/>
          <w:rFonts w:asciiTheme="minorHAnsi" w:hAnsiTheme="minorHAnsi" w:cstheme="minorHAnsi"/>
          <w:color w:val="000000" w:themeColor="text1"/>
          <w:sz w:val="22"/>
          <w:szCs w:val="22"/>
        </w:rPr>
        <w:footnoteReference w:id="156"/>
      </w:r>
      <w:r w:rsidR="002F3B3D" w:rsidRPr="007647B4">
        <w:rPr>
          <w:rFonts w:asciiTheme="minorHAnsi" w:hAnsiTheme="minorHAnsi" w:cstheme="minorHAnsi"/>
          <w:color w:val="000000" w:themeColor="text1"/>
          <w:sz w:val="22"/>
          <w:szCs w:val="22"/>
          <w:vertAlign w:val="superscript"/>
        </w:rPr>
        <w:t>,</w:t>
      </w:r>
      <w:r w:rsidR="00DC723F" w:rsidRPr="007647B4">
        <w:rPr>
          <w:rStyle w:val="FootnoteReference"/>
          <w:rFonts w:asciiTheme="minorHAnsi" w:hAnsiTheme="minorHAnsi" w:cstheme="minorHAnsi"/>
          <w:color w:val="000000" w:themeColor="text1"/>
          <w:sz w:val="22"/>
          <w:szCs w:val="22"/>
        </w:rPr>
        <w:footnoteReference w:id="157"/>
      </w:r>
      <w:r w:rsidR="002F3B3D" w:rsidRPr="007647B4">
        <w:rPr>
          <w:rFonts w:asciiTheme="minorHAnsi" w:hAnsiTheme="minorHAnsi" w:cstheme="minorHAnsi"/>
          <w:color w:val="000000" w:themeColor="text1"/>
          <w:sz w:val="22"/>
          <w:szCs w:val="22"/>
          <w:vertAlign w:val="superscript"/>
        </w:rPr>
        <w:t>,</w:t>
      </w:r>
      <w:r w:rsidR="00DC723F" w:rsidRPr="007647B4">
        <w:rPr>
          <w:rStyle w:val="FootnoteReference"/>
          <w:rFonts w:asciiTheme="minorHAnsi" w:hAnsiTheme="minorHAnsi" w:cstheme="minorHAnsi"/>
          <w:color w:val="000000" w:themeColor="text1"/>
          <w:sz w:val="22"/>
          <w:szCs w:val="22"/>
        </w:rPr>
        <w:footnoteReference w:id="158"/>
      </w:r>
      <w:r w:rsidRPr="007647B4">
        <w:rPr>
          <w:rFonts w:asciiTheme="minorHAnsi" w:hAnsiTheme="minorHAnsi" w:cstheme="minorHAnsi"/>
          <w:color w:val="000000" w:themeColor="text1"/>
          <w:sz w:val="22"/>
          <w:szCs w:val="22"/>
        </w:rPr>
        <w:t xml:space="preserve"> and reduces the impact of misleading branding on beliefs </w:t>
      </w:r>
      <w:r w:rsidRPr="007647B4">
        <w:rPr>
          <w:rFonts w:asciiTheme="minorHAnsi" w:hAnsiTheme="minorHAnsi" w:cstheme="minorHAnsi"/>
          <w:color w:val="000000" w:themeColor="text1"/>
          <w:sz w:val="22"/>
          <w:szCs w:val="22"/>
        </w:rPr>
        <w:lastRenderedPageBreak/>
        <w:t>about harm</w:t>
      </w:r>
      <w:r w:rsidR="0025383F" w:rsidRPr="007647B4">
        <w:rPr>
          <w:rFonts w:asciiTheme="minorHAnsi" w:hAnsiTheme="minorHAnsi" w:cstheme="minorHAnsi"/>
          <w:color w:val="000000" w:themeColor="text1"/>
          <w:sz w:val="22"/>
          <w:szCs w:val="22"/>
        </w:rPr>
        <w:t>less</w:t>
      </w:r>
      <w:r w:rsidRPr="007647B4">
        <w:rPr>
          <w:rFonts w:asciiTheme="minorHAnsi" w:hAnsiTheme="minorHAnsi" w:cstheme="minorHAnsi"/>
          <w:color w:val="000000" w:themeColor="text1"/>
          <w:sz w:val="22"/>
          <w:szCs w:val="22"/>
        </w:rPr>
        <w:t>ness</w:t>
      </w:r>
      <w:r w:rsidR="00DC723F" w:rsidRPr="007647B4">
        <w:rPr>
          <w:rFonts w:asciiTheme="minorHAnsi" w:hAnsiTheme="minorHAnsi" w:cstheme="minorHAnsi"/>
          <w:color w:val="000000" w:themeColor="text1"/>
          <w:sz w:val="22"/>
          <w:szCs w:val="22"/>
        </w:rPr>
        <w:t>.</w:t>
      </w:r>
      <w:r w:rsidR="00DC723F" w:rsidRPr="007647B4">
        <w:rPr>
          <w:rStyle w:val="FootnoteReference"/>
          <w:rFonts w:asciiTheme="minorHAnsi" w:hAnsiTheme="minorHAnsi" w:cstheme="minorHAnsi"/>
          <w:color w:val="000000" w:themeColor="text1"/>
          <w:sz w:val="22"/>
          <w:szCs w:val="22"/>
        </w:rPr>
        <w:footnoteReference w:id="159"/>
      </w:r>
      <w:r w:rsidR="002F3B3D" w:rsidRPr="007647B4">
        <w:rPr>
          <w:rFonts w:asciiTheme="minorHAnsi" w:hAnsiTheme="minorHAnsi" w:cstheme="minorHAnsi"/>
          <w:color w:val="000000" w:themeColor="text1"/>
          <w:sz w:val="22"/>
          <w:szCs w:val="22"/>
          <w:vertAlign w:val="superscript"/>
        </w:rPr>
        <w:t>,</w:t>
      </w:r>
      <w:r w:rsidR="00DC723F" w:rsidRPr="007647B4">
        <w:rPr>
          <w:rStyle w:val="FootnoteReference"/>
          <w:rFonts w:asciiTheme="minorHAnsi" w:hAnsiTheme="minorHAnsi" w:cstheme="minorHAnsi"/>
          <w:color w:val="000000" w:themeColor="text1"/>
          <w:sz w:val="22"/>
          <w:szCs w:val="22"/>
        </w:rPr>
        <w:footnoteReference w:id="160"/>
      </w:r>
      <w:r w:rsidRPr="007647B4">
        <w:rPr>
          <w:rFonts w:asciiTheme="minorHAnsi" w:hAnsiTheme="minorHAnsi" w:cstheme="minorHAnsi"/>
          <w:color w:val="000000" w:themeColor="text1"/>
          <w:sz w:val="22"/>
          <w:szCs w:val="22"/>
        </w:rPr>
        <w:t xml:space="preserve"> Combining plain packaging and large graphic labels extends the reach and impact of public health media campaigns</w:t>
      </w:r>
      <w:r w:rsidR="00DC723F" w:rsidRPr="007647B4">
        <w:rPr>
          <w:rStyle w:val="FootnoteReference"/>
          <w:rFonts w:asciiTheme="minorHAnsi" w:hAnsiTheme="minorHAnsi" w:cstheme="minorHAnsi"/>
          <w:color w:val="000000" w:themeColor="text1"/>
          <w:sz w:val="22"/>
          <w:szCs w:val="22"/>
        </w:rPr>
        <w:footnoteReference w:id="161"/>
      </w:r>
      <w:r w:rsidRPr="007647B4">
        <w:rPr>
          <w:rFonts w:asciiTheme="minorHAnsi" w:hAnsiTheme="minorHAnsi" w:cstheme="minorHAnsi"/>
          <w:color w:val="000000" w:themeColor="text1"/>
          <w:sz w:val="22"/>
          <w:szCs w:val="22"/>
        </w:rPr>
        <w:t xml:space="preserve"> and diminishes tobacco’s appeal to adolescents by increasing attention and perceptions of harm and reducing social appeal</w:t>
      </w:r>
      <w:r w:rsidR="00DC723F" w:rsidRPr="007647B4">
        <w:rPr>
          <w:rFonts w:asciiTheme="minorHAnsi" w:hAnsiTheme="minorHAnsi" w:cstheme="minorHAnsi"/>
          <w:color w:val="000000" w:themeColor="text1"/>
          <w:sz w:val="22"/>
          <w:szCs w:val="22"/>
        </w:rPr>
        <w:t>.</w:t>
      </w:r>
      <w:r w:rsidR="00DC723F" w:rsidRPr="007647B4">
        <w:rPr>
          <w:rStyle w:val="FootnoteReference"/>
          <w:rFonts w:asciiTheme="minorHAnsi" w:hAnsiTheme="minorHAnsi" w:cstheme="minorHAnsi"/>
          <w:color w:val="000000" w:themeColor="text1"/>
          <w:sz w:val="22"/>
          <w:szCs w:val="22"/>
        </w:rPr>
        <w:footnoteReference w:id="162"/>
      </w:r>
      <w:r w:rsidRPr="007647B4">
        <w:rPr>
          <w:rFonts w:asciiTheme="minorHAnsi" w:hAnsiTheme="minorHAnsi" w:cstheme="minorHAnsi"/>
          <w:color w:val="000000" w:themeColor="text1"/>
          <w:sz w:val="22"/>
          <w:szCs w:val="22"/>
        </w:rPr>
        <w:t xml:space="preserve"> </w:t>
      </w:r>
    </w:p>
    <w:p w14:paraId="57264227" w14:textId="6FCE4C92" w:rsidR="00CB1EF0" w:rsidRPr="007647B4" w:rsidRDefault="00CB1EF0" w:rsidP="003B2510">
      <w:pPr>
        <w:jc w:val="both"/>
        <w:rPr>
          <w:rFonts w:asciiTheme="minorHAnsi" w:hAnsiTheme="minorHAnsi" w:cstheme="minorHAnsi"/>
          <w:color w:val="000000" w:themeColor="text1"/>
          <w:sz w:val="22"/>
          <w:szCs w:val="22"/>
        </w:rPr>
      </w:pPr>
    </w:p>
    <w:p w14:paraId="1D5661F5" w14:textId="6A16E349" w:rsidR="00CB1EF0" w:rsidRPr="007647B4" w:rsidRDefault="00CB1EF0"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Cannabis plain packaging examples are limited. Oregon permits cannabis companies using generic packaging and labels to bypass the state’s label preapproval process and fee</w:t>
      </w:r>
      <w:r w:rsidR="00304DEA" w:rsidRPr="007647B4">
        <w:rPr>
          <w:rFonts w:asciiTheme="minorHAnsi" w:hAnsiTheme="minorHAnsi" w:cstheme="minorHAnsi"/>
          <w:color w:val="000000" w:themeColor="text1"/>
          <w:sz w:val="22"/>
          <w:szCs w:val="22"/>
        </w:rPr>
        <w:t>.</w:t>
      </w:r>
      <w:r w:rsidR="00304DEA" w:rsidRPr="007647B4">
        <w:rPr>
          <w:rStyle w:val="FootnoteReference"/>
          <w:rFonts w:asciiTheme="minorHAnsi" w:hAnsiTheme="minorHAnsi" w:cstheme="minorHAnsi"/>
          <w:color w:val="000000" w:themeColor="text1"/>
          <w:sz w:val="22"/>
          <w:szCs w:val="22"/>
        </w:rPr>
        <w:footnoteReference w:id="163"/>
      </w:r>
      <w:r w:rsidR="009E43E5" w:rsidRPr="007647B4">
        <w:rPr>
          <w:rFonts w:asciiTheme="minorHAnsi" w:hAnsiTheme="minorHAnsi" w:cstheme="minorHAnsi"/>
          <w:color w:val="000000" w:themeColor="text1"/>
          <w:sz w:val="22"/>
          <w:szCs w:val="22"/>
          <w:vertAlign w:val="superscript"/>
        </w:rPr>
        <w:t>,</w:t>
      </w:r>
      <w:r w:rsidR="00304DEA" w:rsidRPr="007647B4">
        <w:rPr>
          <w:rStyle w:val="FootnoteReference"/>
          <w:rFonts w:asciiTheme="minorHAnsi" w:hAnsiTheme="minorHAnsi" w:cstheme="minorHAnsi"/>
          <w:color w:val="000000" w:themeColor="text1"/>
          <w:sz w:val="22"/>
          <w:szCs w:val="22"/>
        </w:rPr>
        <w:footnoteReference w:id="164"/>
      </w:r>
      <w:r w:rsidRPr="007647B4">
        <w:rPr>
          <w:rFonts w:asciiTheme="minorHAnsi" w:hAnsiTheme="minorHAnsi" w:cstheme="minorHAnsi"/>
          <w:color w:val="000000" w:themeColor="text1"/>
          <w:sz w:val="22"/>
          <w:szCs w:val="22"/>
          <w:vertAlign w:val="superscript"/>
        </w:rPr>
        <w:t xml:space="preserve"> </w:t>
      </w:r>
      <w:r w:rsidRPr="007647B4">
        <w:rPr>
          <w:rFonts w:asciiTheme="minorHAnsi" w:hAnsiTheme="minorHAnsi" w:cstheme="minorHAnsi"/>
          <w:color w:val="000000" w:themeColor="text1"/>
          <w:sz w:val="22"/>
          <w:szCs w:val="22"/>
        </w:rPr>
        <w:t xml:space="preserve">Uruguay prohibits the two private companies supplying cannabis to the </w:t>
      </w:r>
      <w:r w:rsidR="001B2BE9" w:rsidRPr="007647B4">
        <w:rPr>
          <w:rFonts w:asciiTheme="minorHAnsi" w:hAnsiTheme="minorHAnsi" w:cstheme="minorHAnsi"/>
          <w:color w:val="000000" w:themeColor="text1"/>
          <w:sz w:val="22"/>
          <w:szCs w:val="22"/>
        </w:rPr>
        <w:t>adult-use</w:t>
      </w:r>
      <w:r w:rsidRPr="007647B4">
        <w:rPr>
          <w:rFonts w:asciiTheme="minorHAnsi" w:hAnsiTheme="minorHAnsi" w:cstheme="minorHAnsi"/>
          <w:color w:val="000000" w:themeColor="text1"/>
          <w:sz w:val="22"/>
          <w:szCs w:val="22"/>
        </w:rPr>
        <w:t xml:space="preserve"> market from including company labels on packaging</w:t>
      </w:r>
      <w:r w:rsidR="00304DEA" w:rsidRPr="007647B4">
        <w:rPr>
          <w:rFonts w:asciiTheme="minorHAnsi" w:hAnsiTheme="minorHAnsi" w:cstheme="minorHAnsi"/>
          <w:color w:val="000000" w:themeColor="text1"/>
          <w:sz w:val="22"/>
          <w:szCs w:val="22"/>
        </w:rPr>
        <w:t>.</w:t>
      </w:r>
      <w:r w:rsidR="00304DEA" w:rsidRPr="007647B4">
        <w:rPr>
          <w:rStyle w:val="FootnoteReference"/>
          <w:rFonts w:asciiTheme="minorHAnsi" w:hAnsiTheme="minorHAnsi" w:cstheme="minorHAnsi"/>
          <w:color w:val="000000" w:themeColor="text1"/>
          <w:sz w:val="22"/>
          <w:szCs w:val="22"/>
        </w:rPr>
        <w:footnoteReference w:id="165"/>
      </w:r>
      <w:r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b/>
          <w:color w:val="000000" w:themeColor="text1"/>
          <w:sz w:val="22"/>
          <w:szCs w:val="22"/>
        </w:rPr>
        <w:t>Mandatory plain packaging would eliminate a promotional avenue used routinely by the tobacco industry, with likely positive impacts on cannabis use and perceptions of harmfulness.</w:t>
      </w:r>
    </w:p>
    <w:p w14:paraId="342F1ED7" w14:textId="77777777" w:rsidR="00485764" w:rsidRPr="007647B4" w:rsidRDefault="00485764" w:rsidP="003B2510">
      <w:pPr>
        <w:jc w:val="both"/>
        <w:rPr>
          <w:rFonts w:asciiTheme="minorHAnsi" w:hAnsiTheme="minorHAnsi" w:cstheme="minorHAnsi"/>
          <w:color w:val="000000" w:themeColor="text1"/>
          <w:sz w:val="22"/>
          <w:szCs w:val="22"/>
        </w:rPr>
      </w:pPr>
    </w:p>
    <w:p w14:paraId="6B72BCE1" w14:textId="0E246EDA" w:rsidR="00CB1EF0" w:rsidRPr="007647B4" w:rsidRDefault="00932F13" w:rsidP="003B2510">
      <w:pPr>
        <w:jc w:val="both"/>
        <w:rPr>
          <w:rFonts w:asciiTheme="minorHAnsi" w:hAnsiTheme="minorHAnsi" w:cstheme="minorHAnsi"/>
          <w:b/>
          <w:color w:val="000000" w:themeColor="text1"/>
          <w:sz w:val="22"/>
          <w:szCs w:val="22"/>
        </w:rPr>
      </w:pPr>
      <w:r w:rsidRPr="007647B4">
        <w:rPr>
          <w:rFonts w:asciiTheme="minorHAnsi" w:hAnsiTheme="minorHAnsi" w:cstheme="minorHAnsi"/>
          <w:b/>
          <w:color w:val="000000" w:themeColor="text1"/>
          <w:sz w:val="22"/>
          <w:szCs w:val="22"/>
        </w:rPr>
        <w:t>9</w:t>
      </w:r>
      <w:r w:rsidR="00CB1EF0" w:rsidRPr="007647B4">
        <w:rPr>
          <w:rFonts w:asciiTheme="minorHAnsi" w:hAnsiTheme="minorHAnsi" w:cstheme="minorHAnsi"/>
          <w:b/>
          <w:color w:val="000000" w:themeColor="text1"/>
          <w:sz w:val="22"/>
          <w:szCs w:val="22"/>
        </w:rPr>
        <w:t>. Set lower THC limits for concentrates and other products likely to be accidentally consumed (§ 40306)</w:t>
      </w:r>
    </w:p>
    <w:p w14:paraId="02FB204B" w14:textId="2BC4E585" w:rsidR="00CB1EF0" w:rsidRPr="007647B4" w:rsidRDefault="00CB1EF0" w:rsidP="003B2510">
      <w:pPr>
        <w:jc w:val="both"/>
        <w:rPr>
          <w:rFonts w:asciiTheme="minorHAnsi" w:hAnsiTheme="minorHAnsi" w:cstheme="minorHAnsi"/>
          <w:color w:val="000000" w:themeColor="text1"/>
          <w:sz w:val="22"/>
          <w:szCs w:val="22"/>
        </w:rPr>
      </w:pPr>
    </w:p>
    <w:p w14:paraId="3F09608D" w14:textId="0B1A579E" w:rsidR="00CB1EF0" w:rsidRPr="007647B4" w:rsidRDefault="00CB1EF0"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The proposed regulations (§ 40306) limit nonedible manufactured medical cannabis products to 2000 mg THC per package and adult use products to 1000 mg per package, both far higher than the 100 mg permitted for edibles (§ 40305). Nonedible products also present accidental consumption risks. In the Initial Statement of Reasons for earlier draft medical cannabis regulations, the Department noted that “capsules, tinctures, and topicals” are “more traditional medical delivery mechanisms”</w:t>
      </w:r>
      <w:r w:rsidR="00304DEA" w:rsidRPr="007647B4">
        <w:rPr>
          <w:rStyle w:val="FootnoteReference"/>
          <w:rFonts w:asciiTheme="minorHAnsi" w:hAnsiTheme="minorHAnsi" w:cstheme="minorHAnsi"/>
          <w:color w:val="000000" w:themeColor="text1"/>
          <w:sz w:val="22"/>
          <w:szCs w:val="22"/>
        </w:rPr>
        <w:footnoteReference w:id="166"/>
      </w:r>
      <w:r w:rsidR="00304DEA"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however, nonedible products is a broad category that includes highly potent concentrates that can be heated and quickly inhaled</w:t>
      </w:r>
      <w:r w:rsidR="00304DEA" w:rsidRPr="007647B4">
        <w:rPr>
          <w:rStyle w:val="FootnoteReference"/>
          <w:rFonts w:asciiTheme="minorHAnsi" w:hAnsiTheme="minorHAnsi" w:cstheme="minorHAnsi"/>
          <w:color w:val="000000" w:themeColor="text1"/>
          <w:sz w:val="22"/>
          <w:szCs w:val="22"/>
        </w:rPr>
        <w:footnoteReference w:id="167"/>
      </w:r>
      <w:r w:rsidRPr="007647B4">
        <w:rPr>
          <w:rFonts w:asciiTheme="minorHAnsi" w:hAnsiTheme="minorHAnsi" w:cstheme="minorHAnsi"/>
          <w:color w:val="000000" w:themeColor="text1"/>
          <w:sz w:val="22"/>
          <w:szCs w:val="22"/>
        </w:rPr>
        <w:t xml:space="preserve"> providing the THC equivalent of several joints in one breath</w:t>
      </w:r>
      <w:r w:rsidR="00304DEA" w:rsidRPr="007647B4">
        <w:rPr>
          <w:rFonts w:asciiTheme="minorHAnsi" w:hAnsiTheme="minorHAnsi" w:cstheme="minorHAnsi"/>
          <w:color w:val="000000" w:themeColor="text1"/>
          <w:sz w:val="22"/>
          <w:szCs w:val="22"/>
        </w:rPr>
        <w:t>.</w:t>
      </w:r>
      <w:r w:rsidR="00304DEA" w:rsidRPr="007647B4">
        <w:rPr>
          <w:rStyle w:val="FootnoteReference"/>
          <w:rFonts w:asciiTheme="minorHAnsi" w:hAnsiTheme="minorHAnsi" w:cstheme="minorHAnsi"/>
          <w:color w:val="000000" w:themeColor="text1"/>
          <w:sz w:val="22"/>
          <w:szCs w:val="22"/>
        </w:rPr>
        <w:footnoteReference w:id="168"/>
      </w:r>
      <w:r w:rsidRPr="007647B4">
        <w:rPr>
          <w:rFonts w:asciiTheme="minorHAnsi" w:hAnsiTheme="minorHAnsi" w:cstheme="minorHAnsi"/>
          <w:color w:val="000000" w:themeColor="text1"/>
          <w:sz w:val="22"/>
          <w:szCs w:val="22"/>
        </w:rPr>
        <w:t xml:space="preserve"> Such products potentially present increased dependence risks</w:t>
      </w:r>
      <w:r w:rsidR="00471473" w:rsidRPr="007647B4">
        <w:rPr>
          <w:rStyle w:val="FootnoteReference"/>
          <w:rFonts w:asciiTheme="minorHAnsi" w:hAnsiTheme="minorHAnsi" w:cstheme="minorHAnsi"/>
          <w:color w:val="000000" w:themeColor="text1"/>
          <w:sz w:val="22"/>
          <w:szCs w:val="22"/>
        </w:rPr>
        <w:footnoteReference w:id="169"/>
      </w:r>
      <w:r w:rsidRPr="007647B4">
        <w:rPr>
          <w:rFonts w:asciiTheme="minorHAnsi" w:hAnsiTheme="minorHAnsi" w:cstheme="minorHAnsi"/>
          <w:color w:val="000000" w:themeColor="text1"/>
          <w:sz w:val="22"/>
          <w:szCs w:val="22"/>
        </w:rPr>
        <w:t xml:space="preserve"> and have been linked to psychosis in case reports</w:t>
      </w:r>
      <w:r w:rsidR="00304DEA" w:rsidRPr="007647B4">
        <w:rPr>
          <w:rFonts w:asciiTheme="minorHAnsi" w:hAnsiTheme="minorHAnsi" w:cstheme="minorHAnsi"/>
          <w:color w:val="000000" w:themeColor="text1"/>
          <w:sz w:val="22"/>
          <w:szCs w:val="22"/>
        </w:rPr>
        <w:t>.</w:t>
      </w:r>
      <w:r w:rsidR="00304DEA" w:rsidRPr="007647B4">
        <w:rPr>
          <w:rStyle w:val="FootnoteReference"/>
          <w:rFonts w:asciiTheme="minorHAnsi" w:hAnsiTheme="minorHAnsi" w:cstheme="minorHAnsi"/>
          <w:color w:val="000000" w:themeColor="text1"/>
          <w:sz w:val="22"/>
          <w:szCs w:val="22"/>
        </w:rPr>
        <w:footnoteReference w:id="170"/>
      </w:r>
      <w:r w:rsidRPr="007647B4">
        <w:rPr>
          <w:rFonts w:asciiTheme="minorHAnsi" w:hAnsiTheme="minorHAnsi" w:cstheme="minorHAnsi"/>
          <w:color w:val="000000" w:themeColor="text1"/>
          <w:sz w:val="22"/>
          <w:szCs w:val="22"/>
        </w:rPr>
        <w:t xml:space="preserve"> </w:t>
      </w:r>
    </w:p>
    <w:p w14:paraId="3BA5FACE" w14:textId="65C9D1FE" w:rsidR="00CB1EF0" w:rsidRPr="007647B4" w:rsidRDefault="00CB1EF0" w:rsidP="003B2510">
      <w:pPr>
        <w:jc w:val="both"/>
        <w:rPr>
          <w:rFonts w:asciiTheme="minorHAnsi" w:hAnsiTheme="minorHAnsi" w:cstheme="minorHAnsi"/>
          <w:color w:val="000000" w:themeColor="text1"/>
          <w:sz w:val="22"/>
          <w:szCs w:val="22"/>
        </w:rPr>
      </w:pPr>
    </w:p>
    <w:p w14:paraId="1BB05A06" w14:textId="131D6E9F" w:rsidR="00CB1EF0" w:rsidRPr="007647B4" w:rsidRDefault="00CB1EF0"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Vaporizing liquid extracts causes inhalation of ultrafine particles, which present cardiovascular and respiratory risks in e-cigarettes</w:t>
      </w:r>
      <w:r w:rsidR="00DA6B6F" w:rsidRPr="007647B4">
        <w:rPr>
          <w:rStyle w:val="FootnoteReference"/>
          <w:rFonts w:asciiTheme="minorHAnsi" w:hAnsiTheme="minorHAnsi" w:cstheme="minorHAnsi"/>
          <w:color w:val="000000" w:themeColor="text1"/>
          <w:sz w:val="22"/>
          <w:szCs w:val="22"/>
        </w:rPr>
        <w:footnoteReference w:id="171"/>
      </w:r>
      <w:r w:rsidR="00DA6B6F" w:rsidRPr="007647B4">
        <w:rPr>
          <w:rFonts w:asciiTheme="minorHAnsi" w:hAnsiTheme="minorHAnsi" w:cstheme="minorHAnsi"/>
          <w:color w:val="000000" w:themeColor="text1"/>
          <w:sz w:val="22"/>
          <w:szCs w:val="22"/>
          <w:vertAlign w:val="superscript"/>
        </w:rPr>
        <w:t>,</w:t>
      </w:r>
      <w:r w:rsidR="00304DEA" w:rsidRPr="007647B4">
        <w:rPr>
          <w:rStyle w:val="FootnoteReference"/>
          <w:rFonts w:asciiTheme="minorHAnsi" w:hAnsiTheme="minorHAnsi" w:cstheme="minorHAnsi"/>
          <w:color w:val="000000" w:themeColor="text1"/>
          <w:sz w:val="22"/>
          <w:szCs w:val="22"/>
        </w:rPr>
        <w:footnoteReference w:id="172"/>
      </w:r>
      <w:r w:rsidR="00DA6B6F" w:rsidRPr="007647B4">
        <w:rPr>
          <w:rFonts w:asciiTheme="minorHAnsi" w:hAnsiTheme="minorHAnsi" w:cstheme="minorHAnsi"/>
          <w:color w:val="000000" w:themeColor="text1"/>
          <w:sz w:val="22"/>
          <w:szCs w:val="22"/>
          <w:vertAlign w:val="superscript"/>
        </w:rPr>
        <w:t>,</w:t>
      </w:r>
      <w:r w:rsidR="00304DEA" w:rsidRPr="007647B4">
        <w:rPr>
          <w:rStyle w:val="FootnoteReference"/>
          <w:rFonts w:asciiTheme="minorHAnsi" w:hAnsiTheme="minorHAnsi" w:cstheme="minorHAnsi"/>
          <w:color w:val="000000" w:themeColor="text1"/>
          <w:sz w:val="22"/>
          <w:szCs w:val="22"/>
        </w:rPr>
        <w:footnoteReference w:id="173"/>
      </w:r>
      <w:r w:rsidR="00304DEA"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and likely have similar risks for vaporized cannabis products. Many concentrates and extracts also resemble food (e.g., honey</w:t>
      </w:r>
      <w:r w:rsidR="00304DEA" w:rsidRPr="007647B4">
        <w:rPr>
          <w:rStyle w:val="FootnoteReference"/>
          <w:rFonts w:asciiTheme="minorHAnsi" w:hAnsiTheme="minorHAnsi" w:cstheme="minorHAnsi"/>
          <w:color w:val="000000" w:themeColor="text1"/>
          <w:sz w:val="22"/>
          <w:szCs w:val="22"/>
        </w:rPr>
        <w:footnoteReference w:id="174"/>
      </w:r>
      <w:r w:rsidRPr="007647B4">
        <w:rPr>
          <w:rFonts w:asciiTheme="minorHAnsi" w:hAnsiTheme="minorHAnsi" w:cstheme="minorHAnsi"/>
          <w:color w:val="000000" w:themeColor="text1"/>
          <w:sz w:val="22"/>
          <w:szCs w:val="22"/>
        </w:rPr>
        <w:t>) or trade on foodlike flavors or aromas (e.g., “Pineapple Dream Concentrate”</w:t>
      </w:r>
      <w:r w:rsidR="00304DEA" w:rsidRPr="007647B4">
        <w:rPr>
          <w:rStyle w:val="FootnoteReference"/>
          <w:rFonts w:asciiTheme="minorHAnsi" w:hAnsiTheme="minorHAnsi" w:cstheme="minorHAnsi"/>
          <w:color w:val="000000" w:themeColor="text1"/>
          <w:sz w:val="22"/>
          <w:szCs w:val="22"/>
        </w:rPr>
        <w:footnoteReference w:id="175"/>
      </w:r>
      <w:r w:rsidRPr="007647B4">
        <w:rPr>
          <w:rFonts w:asciiTheme="minorHAnsi" w:hAnsiTheme="minorHAnsi" w:cstheme="minorHAnsi"/>
          <w:color w:val="000000" w:themeColor="text1"/>
          <w:sz w:val="22"/>
          <w:szCs w:val="22"/>
        </w:rPr>
        <w:t>). Harmful pediatric exposures to e-cigarette and nicotine liquids are increasingly frequent</w:t>
      </w:r>
      <w:r w:rsidR="00304DEA" w:rsidRPr="007647B4">
        <w:rPr>
          <w:rFonts w:asciiTheme="minorHAnsi" w:hAnsiTheme="minorHAnsi" w:cstheme="minorHAnsi"/>
          <w:color w:val="000000" w:themeColor="text1"/>
          <w:sz w:val="22"/>
          <w:szCs w:val="22"/>
        </w:rPr>
        <w:t>,</w:t>
      </w:r>
      <w:r w:rsidR="00304DEA" w:rsidRPr="007647B4">
        <w:rPr>
          <w:rStyle w:val="FootnoteReference"/>
          <w:rFonts w:asciiTheme="minorHAnsi" w:hAnsiTheme="minorHAnsi" w:cstheme="minorHAnsi"/>
          <w:color w:val="000000" w:themeColor="text1"/>
          <w:sz w:val="22"/>
          <w:szCs w:val="22"/>
        </w:rPr>
        <w:footnoteReference w:id="176"/>
      </w:r>
      <w:r w:rsidRPr="007647B4">
        <w:rPr>
          <w:rFonts w:asciiTheme="minorHAnsi" w:hAnsiTheme="minorHAnsi" w:cstheme="minorHAnsi"/>
          <w:color w:val="000000" w:themeColor="text1"/>
          <w:sz w:val="22"/>
          <w:szCs w:val="22"/>
        </w:rPr>
        <w:t xml:space="preserve"> and similar preparations of cannabis extracts could present related risks. </w:t>
      </w:r>
      <w:r w:rsidRPr="007647B4">
        <w:rPr>
          <w:rFonts w:asciiTheme="minorHAnsi" w:hAnsiTheme="minorHAnsi" w:cstheme="minorHAnsi"/>
          <w:b/>
          <w:color w:val="000000" w:themeColor="text1"/>
          <w:sz w:val="22"/>
          <w:szCs w:val="22"/>
        </w:rPr>
        <w:t>Inhaled cannabis products present specific risks distinct from other forms of consumption, and the Department should reduce allowable THC content of these products relative to forms such as capsules and tinctures.</w:t>
      </w:r>
      <w:r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lastRenderedPageBreak/>
        <w:t>A 600 mg THC per unit limit on all inhaled manufactured cannabis products would better protect public health and denormalization of smoking behavior. This would be roughly proportional to the 1:5.71 pharmacokinetic equivalency estimated in the Colorado marijuana equivalency study to a maximum of</w:t>
      </w:r>
      <w:r w:rsidR="00EC0B2E" w:rsidRPr="007647B4">
        <w:rPr>
          <w:rFonts w:asciiTheme="minorHAnsi" w:hAnsiTheme="minorHAnsi" w:cstheme="minorHAnsi"/>
          <w:color w:val="000000" w:themeColor="text1"/>
          <w:sz w:val="22"/>
          <w:szCs w:val="22"/>
        </w:rPr>
        <w:t xml:space="preserve"> 100 mg in an edible package.</w:t>
      </w:r>
      <w:r w:rsidR="00304DEA" w:rsidRPr="007647B4">
        <w:rPr>
          <w:rStyle w:val="FootnoteReference"/>
          <w:rFonts w:asciiTheme="minorHAnsi" w:hAnsiTheme="minorHAnsi" w:cstheme="minorHAnsi"/>
          <w:color w:val="000000" w:themeColor="text1"/>
          <w:sz w:val="22"/>
          <w:szCs w:val="22"/>
        </w:rPr>
        <w:footnoteReference w:id="177"/>
      </w:r>
    </w:p>
    <w:p w14:paraId="0A89F623" w14:textId="577A6BF3" w:rsidR="00CB1EF0" w:rsidRPr="007647B4" w:rsidRDefault="00CB1EF0" w:rsidP="003B2510">
      <w:pPr>
        <w:jc w:val="both"/>
        <w:rPr>
          <w:rFonts w:asciiTheme="minorHAnsi" w:hAnsiTheme="minorHAnsi" w:cstheme="minorHAnsi"/>
          <w:color w:val="000000" w:themeColor="text1"/>
          <w:sz w:val="22"/>
          <w:szCs w:val="22"/>
        </w:rPr>
      </w:pPr>
    </w:p>
    <w:p w14:paraId="2D6688FD" w14:textId="700EC3D4" w:rsidR="00CB1EF0" w:rsidRPr="007647B4" w:rsidRDefault="00CB1EF0"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Non-cannabis topical products account for 5.3% of pediatric exposure calls to poison centers nationally</w:t>
      </w:r>
      <w:r w:rsidR="00304DEA" w:rsidRPr="007647B4">
        <w:rPr>
          <w:rStyle w:val="FootnoteReference"/>
          <w:rFonts w:asciiTheme="minorHAnsi" w:hAnsiTheme="minorHAnsi" w:cstheme="minorHAnsi"/>
          <w:color w:val="000000" w:themeColor="text1"/>
          <w:sz w:val="22"/>
          <w:szCs w:val="22"/>
        </w:rPr>
        <w:footnoteReference w:id="178"/>
      </w:r>
      <w:r w:rsidRPr="007647B4">
        <w:rPr>
          <w:rFonts w:asciiTheme="minorHAnsi" w:hAnsiTheme="minorHAnsi" w:cstheme="minorHAnsi"/>
          <w:color w:val="000000" w:themeColor="text1"/>
          <w:sz w:val="22"/>
          <w:szCs w:val="22"/>
        </w:rPr>
        <w:t xml:space="preserve"> and capsules and concentrates/extracts intended for sublingual administration add additional risks, especially those resembling products children commonly encounter, such as lotions</w:t>
      </w:r>
      <w:r w:rsidR="00304DEA" w:rsidRPr="007647B4">
        <w:rPr>
          <w:rFonts w:asciiTheme="minorHAnsi" w:hAnsiTheme="minorHAnsi" w:cstheme="minorHAnsi"/>
          <w:color w:val="000000" w:themeColor="text1"/>
          <w:sz w:val="22"/>
          <w:szCs w:val="22"/>
        </w:rPr>
        <w:t>.</w:t>
      </w:r>
      <w:r w:rsidR="00304DEA" w:rsidRPr="007647B4">
        <w:rPr>
          <w:rStyle w:val="FootnoteReference"/>
          <w:rFonts w:asciiTheme="minorHAnsi" w:hAnsiTheme="minorHAnsi" w:cstheme="minorHAnsi"/>
          <w:color w:val="000000" w:themeColor="text1"/>
          <w:sz w:val="22"/>
          <w:szCs w:val="22"/>
        </w:rPr>
        <w:footnoteReference w:id="179"/>
      </w:r>
      <w:r w:rsidR="00DA6B6F"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 xml:space="preserve">While most cannabis topicals are not psychoactive when used as directed (because few cannabinoids reach the brain via this pathway), accidental ingestion remains concerning. Therefore, </w:t>
      </w:r>
      <w:r w:rsidRPr="007647B4">
        <w:rPr>
          <w:rFonts w:asciiTheme="minorHAnsi" w:hAnsiTheme="minorHAnsi" w:cstheme="minorHAnsi"/>
          <w:b/>
          <w:color w:val="000000" w:themeColor="text1"/>
          <w:sz w:val="22"/>
          <w:szCs w:val="22"/>
        </w:rPr>
        <w:t>we recommend also using a 600 mg THC per package limit for all manufactured cannabis products that are not inhaled nor regulated as an edible, all of which can pose a significant accidental consumption risk, including concentr</w:t>
      </w:r>
      <w:r w:rsidR="00EC0B2E" w:rsidRPr="007647B4">
        <w:rPr>
          <w:rFonts w:asciiTheme="minorHAnsi" w:hAnsiTheme="minorHAnsi" w:cstheme="minorHAnsi"/>
          <w:b/>
          <w:color w:val="000000" w:themeColor="text1"/>
          <w:sz w:val="22"/>
          <w:szCs w:val="22"/>
        </w:rPr>
        <w:t>ates, extracts, and topicals</w:t>
      </w:r>
      <w:r w:rsidR="00304DEA" w:rsidRPr="007647B4">
        <w:rPr>
          <w:rFonts w:asciiTheme="minorHAnsi" w:hAnsiTheme="minorHAnsi" w:cstheme="minorHAnsi"/>
          <w:b/>
          <w:color w:val="000000" w:themeColor="text1"/>
          <w:sz w:val="22"/>
          <w:szCs w:val="22"/>
        </w:rPr>
        <w:t>.</w:t>
      </w:r>
      <w:r w:rsidR="00304DEA" w:rsidRPr="007647B4">
        <w:rPr>
          <w:rStyle w:val="FootnoteReference"/>
          <w:rFonts w:asciiTheme="minorHAnsi" w:hAnsiTheme="minorHAnsi" w:cstheme="minorHAnsi"/>
          <w:b/>
          <w:color w:val="000000" w:themeColor="text1"/>
          <w:sz w:val="22"/>
          <w:szCs w:val="22"/>
        </w:rPr>
        <w:footnoteReference w:id="180"/>
      </w:r>
      <w:r w:rsidR="00EC0B2E" w:rsidRPr="007647B4">
        <w:rPr>
          <w:rFonts w:asciiTheme="minorHAnsi" w:hAnsiTheme="minorHAnsi" w:cstheme="minorHAnsi"/>
          <w:b/>
          <w:color w:val="000000" w:themeColor="text1"/>
          <w:sz w:val="22"/>
          <w:szCs w:val="22"/>
        </w:rPr>
        <w:t xml:space="preserve"> </w:t>
      </w:r>
    </w:p>
    <w:p w14:paraId="0E8C3178" w14:textId="51A22C20" w:rsidR="00CB1EF0" w:rsidRPr="007647B4" w:rsidRDefault="00CB1EF0" w:rsidP="003B2510">
      <w:pPr>
        <w:jc w:val="both"/>
        <w:rPr>
          <w:rFonts w:asciiTheme="minorHAnsi" w:hAnsiTheme="minorHAnsi" w:cstheme="minorHAnsi"/>
          <w:color w:val="000000" w:themeColor="text1"/>
          <w:sz w:val="22"/>
          <w:szCs w:val="22"/>
        </w:rPr>
      </w:pPr>
    </w:p>
    <w:p w14:paraId="2F0F44B8" w14:textId="6B298B79" w:rsidR="00CB1EF0" w:rsidRPr="007647B4" w:rsidRDefault="0022627A" w:rsidP="003B2510">
      <w:pPr>
        <w:jc w:val="both"/>
        <w:rPr>
          <w:rFonts w:asciiTheme="minorHAnsi" w:hAnsiTheme="minorHAnsi" w:cstheme="minorHAnsi"/>
          <w:b/>
          <w:color w:val="000000" w:themeColor="text1"/>
          <w:sz w:val="22"/>
          <w:szCs w:val="22"/>
        </w:rPr>
      </w:pPr>
      <w:r w:rsidRPr="007647B4">
        <w:rPr>
          <w:rFonts w:asciiTheme="minorHAnsi" w:hAnsiTheme="minorHAnsi" w:cstheme="minorHAnsi"/>
          <w:b/>
          <w:color w:val="000000" w:themeColor="text1"/>
          <w:sz w:val="22"/>
          <w:szCs w:val="22"/>
        </w:rPr>
        <w:t>1</w:t>
      </w:r>
      <w:r w:rsidR="002F3B3D" w:rsidRPr="007647B4">
        <w:rPr>
          <w:rFonts w:asciiTheme="minorHAnsi" w:hAnsiTheme="minorHAnsi" w:cstheme="minorHAnsi"/>
          <w:b/>
          <w:color w:val="000000" w:themeColor="text1"/>
          <w:sz w:val="22"/>
          <w:szCs w:val="22"/>
        </w:rPr>
        <w:t>0</w:t>
      </w:r>
      <w:r w:rsidR="00CB1EF0" w:rsidRPr="007647B4">
        <w:rPr>
          <w:rFonts w:asciiTheme="minorHAnsi" w:hAnsiTheme="minorHAnsi" w:cstheme="minorHAnsi"/>
          <w:b/>
          <w:color w:val="000000" w:themeColor="text1"/>
          <w:sz w:val="22"/>
          <w:szCs w:val="22"/>
        </w:rPr>
        <w:t>. Marketing by manufacturers (§ 40525): Do not allow therapeutic claims and require a warning label on advertising</w:t>
      </w:r>
    </w:p>
    <w:p w14:paraId="558395C6" w14:textId="77CC0EEC" w:rsidR="00CB1EF0" w:rsidRPr="007647B4" w:rsidRDefault="00CB1EF0" w:rsidP="003B2510">
      <w:pPr>
        <w:jc w:val="both"/>
        <w:rPr>
          <w:rFonts w:asciiTheme="minorHAnsi" w:hAnsiTheme="minorHAnsi" w:cstheme="minorHAnsi"/>
          <w:color w:val="000000" w:themeColor="text1"/>
          <w:sz w:val="22"/>
          <w:szCs w:val="22"/>
        </w:rPr>
      </w:pPr>
    </w:p>
    <w:p w14:paraId="552808E4" w14:textId="77777777" w:rsidR="00CB1EF0" w:rsidRPr="007647B4" w:rsidRDefault="00CB1EF0" w:rsidP="003B2510">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The proposed regulation of marketing and advertising, long understood to be an essential part of controlling harm from tobacco and alcohol, is extraordinarily weak. Proposed regulations fall far short of those adopted in other states which have reduced outdoor advertising, billboards, radio and television use. </w:t>
      </w:r>
    </w:p>
    <w:p w14:paraId="6A6569E5" w14:textId="7BE9FC8C" w:rsidR="00CB1EF0" w:rsidRPr="007647B4" w:rsidRDefault="00CB1EF0" w:rsidP="003B2510">
      <w:pPr>
        <w:jc w:val="both"/>
        <w:rPr>
          <w:rFonts w:asciiTheme="minorHAnsi" w:hAnsiTheme="minorHAnsi" w:cstheme="minorHAnsi"/>
          <w:color w:val="000000" w:themeColor="text1"/>
          <w:sz w:val="22"/>
          <w:szCs w:val="22"/>
        </w:rPr>
      </w:pPr>
    </w:p>
    <w:p w14:paraId="324D282D" w14:textId="33D88643" w:rsidR="00F82CDC" w:rsidRPr="007647B4" w:rsidRDefault="00932F13" w:rsidP="003B2510">
      <w:pPr>
        <w:pStyle w:val="ListParagraph"/>
        <w:jc w:val="both"/>
        <w:rPr>
          <w:rFonts w:asciiTheme="minorHAnsi" w:hAnsiTheme="minorHAnsi" w:cstheme="minorHAnsi"/>
          <w:b/>
          <w:color w:val="000000" w:themeColor="text1"/>
          <w:sz w:val="22"/>
          <w:szCs w:val="22"/>
        </w:rPr>
      </w:pPr>
      <w:r w:rsidRPr="00D32EBA">
        <w:rPr>
          <w:rFonts w:asciiTheme="minorHAnsi" w:hAnsiTheme="minorHAnsi" w:cstheme="minorHAnsi"/>
          <w:b/>
          <w:color w:val="000000" w:themeColor="text1"/>
          <w:sz w:val="22"/>
          <w:szCs w:val="22"/>
        </w:rPr>
        <w:t>1</w:t>
      </w:r>
      <w:r w:rsidR="002F3B3D" w:rsidRPr="00EE331A">
        <w:rPr>
          <w:rFonts w:asciiTheme="minorHAnsi" w:hAnsiTheme="minorHAnsi" w:cstheme="minorHAnsi"/>
          <w:b/>
          <w:color w:val="000000" w:themeColor="text1"/>
          <w:sz w:val="22"/>
          <w:szCs w:val="22"/>
        </w:rPr>
        <w:t>0.</w:t>
      </w:r>
      <w:r w:rsidRPr="00EE331A">
        <w:rPr>
          <w:rFonts w:asciiTheme="minorHAnsi" w:hAnsiTheme="minorHAnsi" w:cstheme="minorHAnsi"/>
          <w:b/>
          <w:color w:val="000000" w:themeColor="text1"/>
          <w:sz w:val="22"/>
          <w:szCs w:val="22"/>
        </w:rPr>
        <w:t>a</w:t>
      </w:r>
      <w:r w:rsidR="002F3B3D" w:rsidRPr="00A47FC2">
        <w:rPr>
          <w:rFonts w:asciiTheme="minorHAnsi" w:hAnsiTheme="minorHAnsi" w:cstheme="minorHAnsi"/>
          <w:b/>
          <w:color w:val="000000" w:themeColor="text1"/>
          <w:sz w:val="22"/>
          <w:szCs w:val="22"/>
        </w:rPr>
        <w:t>.</w:t>
      </w:r>
      <w:r w:rsidRPr="007647B4">
        <w:rPr>
          <w:rFonts w:asciiTheme="minorHAnsi" w:hAnsiTheme="minorHAnsi" w:cstheme="minorHAnsi"/>
          <w:b/>
          <w:color w:val="000000" w:themeColor="text1"/>
          <w:sz w:val="22"/>
          <w:szCs w:val="22"/>
        </w:rPr>
        <w:t xml:space="preserve">) </w:t>
      </w:r>
      <w:r w:rsidR="00F82CDC" w:rsidRPr="007647B4">
        <w:rPr>
          <w:rFonts w:asciiTheme="minorHAnsi" w:hAnsiTheme="minorHAnsi" w:cstheme="minorHAnsi"/>
          <w:b/>
          <w:color w:val="000000" w:themeColor="text1"/>
          <w:sz w:val="22"/>
          <w:szCs w:val="22"/>
        </w:rPr>
        <w:t xml:space="preserve">No </w:t>
      </w:r>
      <w:proofErr w:type="gramStart"/>
      <w:r w:rsidR="00F82CDC" w:rsidRPr="007647B4">
        <w:rPr>
          <w:rFonts w:asciiTheme="minorHAnsi" w:hAnsiTheme="minorHAnsi" w:cstheme="minorHAnsi"/>
          <w:b/>
          <w:color w:val="000000" w:themeColor="text1"/>
          <w:sz w:val="22"/>
          <w:szCs w:val="22"/>
        </w:rPr>
        <w:t>health related</w:t>
      </w:r>
      <w:proofErr w:type="gramEnd"/>
      <w:r w:rsidR="00F82CDC" w:rsidRPr="007647B4">
        <w:rPr>
          <w:rFonts w:asciiTheme="minorHAnsi" w:hAnsiTheme="minorHAnsi" w:cstheme="minorHAnsi"/>
          <w:b/>
          <w:color w:val="000000" w:themeColor="text1"/>
          <w:sz w:val="22"/>
          <w:szCs w:val="22"/>
        </w:rPr>
        <w:t xml:space="preserve"> statements in marketing</w:t>
      </w:r>
    </w:p>
    <w:p w14:paraId="19CC39CB" w14:textId="77777777" w:rsidR="00F82CDC" w:rsidRPr="007647B4" w:rsidRDefault="00F82CDC" w:rsidP="00531948">
      <w:pPr>
        <w:ind w:left="360"/>
        <w:jc w:val="both"/>
        <w:rPr>
          <w:rFonts w:asciiTheme="minorHAnsi" w:hAnsiTheme="minorHAnsi" w:cstheme="minorHAnsi"/>
          <w:b/>
          <w:color w:val="000000" w:themeColor="text1"/>
          <w:sz w:val="22"/>
          <w:szCs w:val="22"/>
        </w:rPr>
      </w:pPr>
    </w:p>
    <w:p w14:paraId="267115F2" w14:textId="5FBEDC51" w:rsidR="00CB1EF0" w:rsidRPr="007647B4" w:rsidRDefault="00CB1EF0" w:rsidP="00531948">
      <w:pPr>
        <w:jc w:val="both"/>
        <w:rPr>
          <w:rFonts w:asciiTheme="minorHAnsi" w:hAnsiTheme="minorHAnsi" w:cstheme="minorHAnsi"/>
          <w:color w:val="000000" w:themeColor="text1"/>
          <w:sz w:val="22"/>
          <w:szCs w:val="22"/>
        </w:rPr>
      </w:pPr>
      <w:r w:rsidRPr="007647B4">
        <w:rPr>
          <w:rFonts w:asciiTheme="minorHAnsi" w:hAnsiTheme="minorHAnsi" w:cstheme="minorHAnsi"/>
          <w:b/>
          <w:color w:val="000000" w:themeColor="text1"/>
          <w:sz w:val="22"/>
          <w:szCs w:val="22"/>
        </w:rPr>
        <w:t>We recommend that no health</w:t>
      </w:r>
      <w:r w:rsidR="00485764" w:rsidRPr="007647B4">
        <w:rPr>
          <w:rFonts w:asciiTheme="minorHAnsi" w:hAnsiTheme="minorHAnsi" w:cstheme="minorHAnsi"/>
          <w:b/>
          <w:color w:val="000000" w:themeColor="text1"/>
          <w:sz w:val="22"/>
          <w:szCs w:val="22"/>
        </w:rPr>
        <w:t>-</w:t>
      </w:r>
      <w:r w:rsidRPr="007647B4">
        <w:rPr>
          <w:rFonts w:asciiTheme="minorHAnsi" w:hAnsiTheme="minorHAnsi" w:cstheme="minorHAnsi"/>
          <w:b/>
          <w:color w:val="000000" w:themeColor="text1"/>
          <w:sz w:val="22"/>
          <w:szCs w:val="22"/>
        </w:rPr>
        <w:t>related statements be allowed in the marketing of cannabis products, or at a minimum, of adult</w:t>
      </w:r>
      <w:r w:rsidR="00471473" w:rsidRPr="007647B4">
        <w:rPr>
          <w:rFonts w:asciiTheme="minorHAnsi" w:hAnsiTheme="minorHAnsi" w:cstheme="minorHAnsi"/>
          <w:b/>
          <w:color w:val="000000" w:themeColor="text1"/>
          <w:sz w:val="22"/>
          <w:szCs w:val="22"/>
        </w:rPr>
        <w:t>-</w:t>
      </w:r>
      <w:r w:rsidRPr="007647B4">
        <w:rPr>
          <w:rFonts w:asciiTheme="minorHAnsi" w:hAnsiTheme="minorHAnsi" w:cstheme="minorHAnsi"/>
          <w:b/>
          <w:color w:val="000000" w:themeColor="text1"/>
          <w:sz w:val="22"/>
          <w:szCs w:val="22"/>
        </w:rPr>
        <w:t>use cannabis products.</w:t>
      </w:r>
      <w:r w:rsidRPr="007647B4">
        <w:rPr>
          <w:rFonts w:asciiTheme="minorHAnsi" w:hAnsiTheme="minorHAnsi" w:cstheme="minorHAnsi"/>
          <w:color w:val="000000" w:themeColor="text1"/>
          <w:sz w:val="22"/>
          <w:szCs w:val="22"/>
        </w:rPr>
        <w:t xml:space="preserve"> Given the absence of any legal and verifiable framework for identifying the veracity of claims, medicinal cannabis uses should be guided by the medical knowledge of the prescribing physician or professional based on science. </w:t>
      </w:r>
      <w:r w:rsidRPr="007647B4">
        <w:rPr>
          <w:rFonts w:asciiTheme="minorHAnsi" w:hAnsiTheme="minorHAnsi" w:cstheme="minorHAnsi"/>
          <w:b/>
          <w:color w:val="000000" w:themeColor="text1"/>
          <w:sz w:val="22"/>
          <w:szCs w:val="22"/>
        </w:rPr>
        <w:t>Adult</w:t>
      </w:r>
      <w:r w:rsidR="00471473" w:rsidRPr="007647B4">
        <w:rPr>
          <w:rFonts w:asciiTheme="minorHAnsi" w:hAnsiTheme="minorHAnsi" w:cstheme="minorHAnsi"/>
          <w:b/>
          <w:color w:val="000000" w:themeColor="text1"/>
          <w:sz w:val="22"/>
          <w:szCs w:val="22"/>
        </w:rPr>
        <w:t>-</w:t>
      </w:r>
      <w:r w:rsidRPr="007647B4">
        <w:rPr>
          <w:rFonts w:asciiTheme="minorHAnsi" w:hAnsiTheme="minorHAnsi" w:cstheme="minorHAnsi"/>
          <w:b/>
          <w:color w:val="000000" w:themeColor="text1"/>
          <w:sz w:val="22"/>
          <w:szCs w:val="22"/>
        </w:rPr>
        <w:t>use cannabis should not be marketed as therapeutic.</w:t>
      </w:r>
      <w:r w:rsidRPr="007647B4">
        <w:rPr>
          <w:rFonts w:asciiTheme="minorHAnsi" w:hAnsiTheme="minorHAnsi" w:cstheme="minorHAnsi"/>
          <w:color w:val="000000" w:themeColor="text1"/>
          <w:sz w:val="22"/>
          <w:szCs w:val="22"/>
        </w:rPr>
        <w:t xml:space="preserve"> Claims in relation to being “natural” or to potency other than factual statements of THC or CBD content should also not be allowed.</w:t>
      </w:r>
      <w:r w:rsidR="004602D7" w:rsidRPr="007647B4">
        <w:rPr>
          <w:rFonts w:asciiTheme="minorHAnsi" w:hAnsiTheme="minorHAnsi" w:cstheme="minorHAnsi"/>
          <w:color w:val="000000" w:themeColor="text1"/>
          <w:sz w:val="22"/>
          <w:szCs w:val="22"/>
        </w:rPr>
        <w:t xml:space="preserve"> </w:t>
      </w:r>
      <w:r w:rsidR="00130F17" w:rsidRPr="007647B4">
        <w:rPr>
          <w:rFonts w:asciiTheme="minorHAnsi" w:hAnsiTheme="minorHAnsi" w:cstheme="minorHAnsi"/>
          <w:color w:val="000000" w:themeColor="text1"/>
          <w:sz w:val="22"/>
          <w:szCs w:val="22"/>
        </w:rPr>
        <w:t>To this end, we applaud CDPH’s decision to prohibit the use of “organic” or “organix” on product labels and suggest this be continued even if there is ever a federally recognized designation of organic cannabis.</w:t>
      </w:r>
      <w:r w:rsidR="00DA6B6F" w:rsidRPr="007647B4">
        <w:rPr>
          <w:rFonts w:asciiTheme="minorHAnsi" w:hAnsiTheme="minorHAnsi" w:cstheme="minorHAnsi"/>
          <w:color w:val="000000" w:themeColor="text1"/>
          <w:sz w:val="22"/>
          <w:szCs w:val="22"/>
        </w:rPr>
        <w:t xml:space="preserve"> </w:t>
      </w:r>
      <w:r w:rsidR="00130F17" w:rsidRPr="007647B4">
        <w:rPr>
          <w:rFonts w:asciiTheme="minorHAnsi" w:hAnsiTheme="minorHAnsi" w:cstheme="minorHAnsi"/>
          <w:color w:val="000000" w:themeColor="text1"/>
          <w:sz w:val="22"/>
          <w:szCs w:val="22"/>
        </w:rPr>
        <w:t xml:space="preserve">Inclusion of the words “organic” </w:t>
      </w:r>
      <w:r w:rsidR="007130EA" w:rsidRPr="007647B4">
        <w:rPr>
          <w:rFonts w:asciiTheme="minorHAnsi" w:hAnsiTheme="minorHAnsi" w:cstheme="minorHAnsi"/>
          <w:color w:val="000000" w:themeColor="text1"/>
          <w:sz w:val="22"/>
          <w:szCs w:val="22"/>
        </w:rPr>
        <w:t>or variants thereof</w:t>
      </w:r>
      <w:r w:rsidR="00130F17" w:rsidRPr="007647B4">
        <w:rPr>
          <w:rFonts w:asciiTheme="minorHAnsi" w:hAnsiTheme="minorHAnsi" w:cstheme="minorHAnsi"/>
          <w:color w:val="000000" w:themeColor="text1"/>
          <w:sz w:val="22"/>
          <w:szCs w:val="22"/>
        </w:rPr>
        <w:t>, can mislead consumers into believing that the product is a healthier</w:t>
      </w:r>
      <w:r w:rsidR="007130EA" w:rsidRPr="007647B4">
        <w:rPr>
          <w:rFonts w:asciiTheme="minorHAnsi" w:hAnsiTheme="minorHAnsi" w:cstheme="minorHAnsi"/>
          <w:color w:val="000000" w:themeColor="text1"/>
          <w:sz w:val="22"/>
          <w:szCs w:val="22"/>
        </w:rPr>
        <w:t xml:space="preserve"> option than regular cannabis.</w:t>
      </w:r>
      <w:r w:rsidR="00DA6B6F" w:rsidRPr="007647B4">
        <w:rPr>
          <w:rFonts w:asciiTheme="minorHAnsi" w:hAnsiTheme="minorHAnsi" w:cstheme="minorHAnsi"/>
          <w:color w:val="000000" w:themeColor="text1"/>
          <w:sz w:val="22"/>
          <w:szCs w:val="22"/>
        </w:rPr>
        <w:t xml:space="preserve"> </w:t>
      </w:r>
      <w:r w:rsidR="007130EA" w:rsidRPr="007647B4">
        <w:rPr>
          <w:rFonts w:asciiTheme="minorHAnsi" w:hAnsiTheme="minorHAnsi" w:cstheme="minorHAnsi"/>
          <w:color w:val="000000" w:themeColor="text1"/>
          <w:sz w:val="22"/>
          <w:szCs w:val="22"/>
        </w:rPr>
        <w:t>Tobacco studies have consistently shown that the inclusion of words such as “organic” or “natural” on cigarettes is perceived to be less harmful.</w:t>
      </w:r>
      <w:r w:rsidR="007130EA" w:rsidRPr="007647B4">
        <w:rPr>
          <w:rStyle w:val="FootnoteReference"/>
          <w:rFonts w:asciiTheme="minorHAnsi" w:hAnsiTheme="minorHAnsi" w:cstheme="minorHAnsi"/>
          <w:color w:val="000000" w:themeColor="text1"/>
          <w:sz w:val="22"/>
          <w:szCs w:val="22"/>
        </w:rPr>
        <w:footnoteReference w:id="181"/>
      </w:r>
      <w:r w:rsidR="007130EA" w:rsidRPr="007647B4">
        <w:rPr>
          <w:rFonts w:asciiTheme="minorHAnsi" w:hAnsiTheme="minorHAnsi" w:cstheme="minorHAnsi"/>
          <w:color w:val="000000" w:themeColor="text1"/>
          <w:sz w:val="22"/>
          <w:szCs w:val="22"/>
        </w:rPr>
        <w:t xml:space="preserve"> In a national 2017 study, “organic” and “natural” elicited lower perceived harm than “light” on cigarettes, which is concerning given that “light” is already banned on cigarettes as misleading. </w:t>
      </w:r>
    </w:p>
    <w:p w14:paraId="71510326" w14:textId="77777777" w:rsidR="00F82CDC" w:rsidRPr="007647B4" w:rsidRDefault="00F82CDC" w:rsidP="00531948">
      <w:pPr>
        <w:ind w:left="720"/>
        <w:jc w:val="both"/>
        <w:rPr>
          <w:rFonts w:asciiTheme="minorHAnsi" w:hAnsiTheme="minorHAnsi" w:cstheme="minorHAnsi"/>
          <w:b/>
          <w:color w:val="000000" w:themeColor="text1"/>
          <w:sz w:val="22"/>
          <w:szCs w:val="22"/>
        </w:rPr>
      </w:pPr>
    </w:p>
    <w:p w14:paraId="66AC16A6" w14:textId="63195AB3" w:rsidR="008C728D" w:rsidRPr="007647B4" w:rsidRDefault="001E1684" w:rsidP="00531948">
      <w:pPr>
        <w:jc w:val="both"/>
        <w:rPr>
          <w:rFonts w:asciiTheme="minorHAnsi" w:hAnsiTheme="minorHAnsi" w:cstheme="minorHAnsi"/>
          <w:color w:val="000000" w:themeColor="text1"/>
          <w:sz w:val="22"/>
          <w:szCs w:val="22"/>
        </w:rPr>
      </w:pPr>
      <w:r w:rsidRPr="007647B4">
        <w:rPr>
          <w:rFonts w:asciiTheme="minorHAnsi" w:hAnsiTheme="minorHAnsi" w:cstheme="minorHAnsi"/>
          <w:b/>
          <w:color w:val="000000" w:themeColor="text1"/>
          <w:sz w:val="22"/>
          <w:szCs w:val="22"/>
        </w:rPr>
        <w:lastRenderedPageBreak/>
        <w:t>This recommendation</w:t>
      </w:r>
      <w:r w:rsidR="008C728D" w:rsidRPr="007647B4">
        <w:rPr>
          <w:rFonts w:asciiTheme="minorHAnsi" w:hAnsiTheme="minorHAnsi" w:cstheme="minorHAnsi"/>
          <w:b/>
          <w:color w:val="000000" w:themeColor="text1"/>
          <w:sz w:val="22"/>
          <w:szCs w:val="22"/>
        </w:rPr>
        <w:t xml:space="preserve"> includes both </w:t>
      </w:r>
      <w:proofErr w:type="gramStart"/>
      <w:r w:rsidR="008C728D" w:rsidRPr="007647B4">
        <w:rPr>
          <w:rFonts w:asciiTheme="minorHAnsi" w:hAnsiTheme="minorHAnsi" w:cstheme="minorHAnsi"/>
          <w:b/>
          <w:color w:val="000000" w:themeColor="text1"/>
          <w:sz w:val="22"/>
          <w:szCs w:val="22"/>
        </w:rPr>
        <w:t>product</w:t>
      </w:r>
      <w:proofErr w:type="gramEnd"/>
      <w:r w:rsidR="008C728D" w:rsidRPr="007647B4">
        <w:rPr>
          <w:rFonts w:asciiTheme="minorHAnsi" w:hAnsiTheme="minorHAnsi" w:cstheme="minorHAnsi"/>
          <w:b/>
          <w:color w:val="000000" w:themeColor="text1"/>
          <w:sz w:val="22"/>
          <w:szCs w:val="22"/>
        </w:rPr>
        <w:t xml:space="preserve"> labeling itself and marketing and advertising materials.</w:t>
      </w:r>
      <w:r w:rsidR="008C728D" w:rsidRPr="007647B4">
        <w:rPr>
          <w:rFonts w:asciiTheme="minorHAnsi" w:hAnsiTheme="minorHAnsi" w:cstheme="minorHAnsi"/>
          <w:color w:val="000000" w:themeColor="text1"/>
          <w:sz w:val="22"/>
          <w:szCs w:val="22"/>
        </w:rPr>
        <w:t xml:space="preserve"> Just as such statements are not present on alcohol products or cigarettes, they should not be permitted on cannabis products.</w:t>
      </w:r>
    </w:p>
    <w:p w14:paraId="61CEC1E0" w14:textId="53F08F8E" w:rsidR="004602D7" w:rsidRPr="007647B4" w:rsidRDefault="004602D7" w:rsidP="00531948">
      <w:pPr>
        <w:jc w:val="both"/>
        <w:rPr>
          <w:rFonts w:asciiTheme="minorHAnsi" w:hAnsiTheme="minorHAnsi" w:cstheme="minorHAnsi"/>
          <w:color w:val="000000" w:themeColor="text1"/>
          <w:sz w:val="22"/>
          <w:szCs w:val="22"/>
        </w:rPr>
      </w:pPr>
    </w:p>
    <w:p w14:paraId="16FB611E" w14:textId="497CC724" w:rsidR="004602D7" w:rsidRPr="007647B4" w:rsidRDefault="004602D7" w:rsidP="00531948">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Some local jurisdictions are already taking the steps to prohibit health-related claims of any kind. For instance, Mono County code §5.60.180(C) states:</w:t>
      </w:r>
    </w:p>
    <w:p w14:paraId="52F08D70" w14:textId="716EE7F6" w:rsidR="004602D7" w:rsidRPr="007647B4" w:rsidRDefault="004602D7" w:rsidP="00531948">
      <w:pPr>
        <w:ind w:left="720"/>
        <w:jc w:val="both"/>
        <w:rPr>
          <w:rFonts w:asciiTheme="minorHAnsi" w:hAnsiTheme="minorHAnsi" w:cstheme="minorHAnsi"/>
          <w:color w:val="000000" w:themeColor="text1"/>
          <w:sz w:val="22"/>
          <w:szCs w:val="22"/>
        </w:rPr>
      </w:pPr>
    </w:p>
    <w:p w14:paraId="472B4496" w14:textId="5EB9708C" w:rsidR="004602D7" w:rsidRPr="007647B4" w:rsidRDefault="009E43E5" w:rsidP="00531948">
      <w:pPr>
        <w:ind w:left="720"/>
        <w:jc w:val="both"/>
        <w:rPr>
          <w:rFonts w:asciiTheme="minorHAnsi" w:hAnsiTheme="minorHAnsi" w:cstheme="minorHAnsi"/>
          <w:i/>
          <w:color w:val="000000" w:themeColor="text1"/>
          <w:sz w:val="22"/>
          <w:szCs w:val="22"/>
        </w:rPr>
      </w:pPr>
      <w:r w:rsidRPr="007647B4">
        <w:rPr>
          <w:rFonts w:asciiTheme="minorHAnsi" w:hAnsiTheme="minorHAnsi" w:cstheme="minorHAnsi"/>
          <w:i/>
          <w:color w:val="000000" w:themeColor="text1"/>
          <w:sz w:val="22"/>
          <w:szCs w:val="22"/>
        </w:rPr>
        <w:t>“</w:t>
      </w:r>
      <w:r w:rsidR="004602D7" w:rsidRPr="007647B4">
        <w:rPr>
          <w:rFonts w:asciiTheme="minorHAnsi" w:hAnsiTheme="minorHAnsi" w:cstheme="minorHAnsi"/>
          <w:i/>
          <w:color w:val="000000" w:themeColor="text1"/>
          <w:sz w:val="22"/>
          <w:szCs w:val="22"/>
        </w:rPr>
        <w:t>Permittees shall not include on the label of any cannabis or cannabis product or publish or disseminate advertising or marketing containing any health-related statement.</w:t>
      </w:r>
      <w:r w:rsidRPr="007647B4">
        <w:rPr>
          <w:rFonts w:asciiTheme="minorHAnsi" w:hAnsiTheme="minorHAnsi" w:cstheme="minorHAnsi"/>
          <w:i/>
          <w:color w:val="000000" w:themeColor="text1"/>
          <w:sz w:val="22"/>
          <w:szCs w:val="22"/>
        </w:rPr>
        <w:t>”</w:t>
      </w:r>
    </w:p>
    <w:p w14:paraId="16590E23" w14:textId="7180087D" w:rsidR="004D5771" w:rsidRPr="007647B4" w:rsidRDefault="004D5771" w:rsidP="00531948">
      <w:pPr>
        <w:jc w:val="both"/>
        <w:rPr>
          <w:rFonts w:asciiTheme="minorHAnsi" w:hAnsiTheme="minorHAnsi" w:cstheme="minorHAnsi"/>
          <w:color w:val="000000" w:themeColor="text1"/>
          <w:sz w:val="22"/>
          <w:szCs w:val="22"/>
        </w:rPr>
      </w:pPr>
    </w:p>
    <w:p w14:paraId="600A6366" w14:textId="0B1F9DCE" w:rsidR="00130103" w:rsidRPr="007647B4" w:rsidRDefault="004D5771" w:rsidP="00130103">
      <w:pPr>
        <w:pStyle w:val="FootnoteText"/>
        <w:spacing w:after="120"/>
        <w:jc w:val="both"/>
        <w:rPr>
          <w:rFonts w:asciiTheme="minorHAnsi" w:hAnsiTheme="minorHAnsi" w:cstheme="minorHAnsi"/>
          <w:sz w:val="22"/>
          <w:szCs w:val="22"/>
        </w:rPr>
      </w:pPr>
      <w:r w:rsidRPr="00D32EBA">
        <w:rPr>
          <w:rFonts w:asciiTheme="minorHAnsi" w:hAnsiTheme="minorHAnsi" w:cstheme="minorHAnsi"/>
          <w:color w:val="000000" w:themeColor="text1"/>
          <w:sz w:val="22"/>
          <w:szCs w:val="22"/>
        </w:rPr>
        <w:t xml:space="preserve">We have also received support for prohibiting health-related claims in cannabis </w:t>
      </w:r>
      <w:r w:rsidR="006416EF" w:rsidRPr="00EE331A">
        <w:rPr>
          <w:rFonts w:asciiTheme="minorHAnsi" w:hAnsiTheme="minorHAnsi" w:cstheme="minorHAnsi"/>
          <w:color w:val="000000" w:themeColor="text1"/>
          <w:sz w:val="22"/>
          <w:szCs w:val="22"/>
        </w:rPr>
        <w:t xml:space="preserve">advertising from the State </w:t>
      </w:r>
      <w:r w:rsidR="006416EF" w:rsidRPr="007647B4">
        <w:rPr>
          <w:rFonts w:asciiTheme="minorHAnsi" w:hAnsiTheme="minorHAnsi" w:cstheme="minorHAnsi"/>
          <w:color w:val="000000" w:themeColor="text1"/>
          <w:sz w:val="22"/>
          <w:szCs w:val="22"/>
        </w:rPr>
        <w:t>A</w:t>
      </w:r>
      <w:r w:rsidRPr="007647B4">
        <w:rPr>
          <w:rFonts w:asciiTheme="minorHAnsi" w:hAnsiTheme="minorHAnsi" w:cstheme="minorHAnsi"/>
          <w:color w:val="000000" w:themeColor="text1"/>
          <w:sz w:val="22"/>
          <w:szCs w:val="22"/>
        </w:rPr>
        <w:t xml:space="preserve">dvisory </w:t>
      </w:r>
      <w:r w:rsidR="006416EF" w:rsidRPr="007647B4">
        <w:rPr>
          <w:rFonts w:asciiTheme="minorHAnsi" w:hAnsiTheme="minorHAnsi" w:cstheme="minorHAnsi"/>
          <w:color w:val="000000" w:themeColor="text1"/>
          <w:sz w:val="22"/>
          <w:szCs w:val="22"/>
        </w:rPr>
        <w:t>C</w:t>
      </w:r>
      <w:r w:rsidRPr="007647B4">
        <w:rPr>
          <w:rFonts w:asciiTheme="minorHAnsi" w:hAnsiTheme="minorHAnsi" w:cstheme="minorHAnsi"/>
          <w:color w:val="000000" w:themeColor="text1"/>
          <w:sz w:val="22"/>
          <w:szCs w:val="22"/>
        </w:rPr>
        <w:t>ommi</w:t>
      </w:r>
      <w:r w:rsidR="009E43E5" w:rsidRPr="007647B4">
        <w:rPr>
          <w:rFonts w:asciiTheme="minorHAnsi" w:hAnsiTheme="minorHAnsi" w:cstheme="minorHAnsi"/>
          <w:color w:val="000000" w:themeColor="text1"/>
          <w:sz w:val="22"/>
          <w:szCs w:val="22"/>
        </w:rPr>
        <w:t>ttee</w:t>
      </w:r>
      <w:r w:rsidRPr="007647B4">
        <w:rPr>
          <w:rFonts w:asciiTheme="minorHAnsi" w:hAnsiTheme="minorHAnsi" w:cstheme="minorHAnsi"/>
          <w:color w:val="000000" w:themeColor="text1"/>
          <w:sz w:val="22"/>
          <w:szCs w:val="22"/>
        </w:rPr>
        <w:t xml:space="preserve"> on </w:t>
      </w:r>
      <w:r w:rsidR="006416EF" w:rsidRPr="007647B4">
        <w:rPr>
          <w:rFonts w:asciiTheme="minorHAnsi" w:hAnsiTheme="minorHAnsi" w:cstheme="minorHAnsi"/>
          <w:color w:val="000000" w:themeColor="text1"/>
          <w:sz w:val="22"/>
          <w:szCs w:val="22"/>
        </w:rPr>
        <w:t>C</w:t>
      </w:r>
      <w:r w:rsidRPr="007647B4">
        <w:rPr>
          <w:rFonts w:asciiTheme="minorHAnsi" w:hAnsiTheme="minorHAnsi" w:cstheme="minorHAnsi"/>
          <w:color w:val="000000" w:themeColor="text1"/>
          <w:sz w:val="22"/>
          <w:szCs w:val="22"/>
        </w:rPr>
        <w:t xml:space="preserve">annabis. </w:t>
      </w:r>
      <w:r w:rsidR="00130103" w:rsidRPr="007647B4">
        <w:rPr>
          <w:rFonts w:asciiTheme="minorHAnsi" w:hAnsiTheme="minorHAnsi" w:cstheme="minorHAnsi"/>
          <w:sz w:val="22"/>
          <w:szCs w:val="22"/>
        </w:rPr>
        <w:t xml:space="preserve">The proposal to prohibit the use of health or therapeutic claims in advertising for </w:t>
      </w:r>
      <w:r w:rsidR="001B2BE9" w:rsidRPr="007647B4">
        <w:rPr>
          <w:rFonts w:asciiTheme="minorHAnsi" w:hAnsiTheme="minorHAnsi" w:cstheme="minorHAnsi"/>
          <w:sz w:val="22"/>
          <w:szCs w:val="22"/>
        </w:rPr>
        <w:t>adult-use</w:t>
      </w:r>
      <w:r w:rsidR="00130103" w:rsidRPr="007647B4">
        <w:rPr>
          <w:rFonts w:asciiTheme="minorHAnsi" w:hAnsiTheme="minorHAnsi" w:cstheme="minorHAnsi"/>
          <w:sz w:val="22"/>
          <w:szCs w:val="22"/>
        </w:rPr>
        <w:t xml:space="preserve"> products was endorsed by the State advisory commission on cannabis. The following is an excerpt from their minutes:</w:t>
      </w:r>
    </w:p>
    <w:p w14:paraId="099427C2" w14:textId="77777777" w:rsidR="00130103" w:rsidRPr="007647B4" w:rsidRDefault="00130103" w:rsidP="00130103">
      <w:pPr>
        <w:pStyle w:val="FootnoteText"/>
        <w:spacing w:after="120"/>
        <w:jc w:val="both"/>
        <w:rPr>
          <w:rFonts w:asciiTheme="minorHAnsi" w:hAnsiTheme="minorHAnsi" w:cstheme="minorHAnsi"/>
          <w:i/>
          <w:sz w:val="22"/>
          <w:szCs w:val="22"/>
        </w:rPr>
      </w:pPr>
      <w:r w:rsidRPr="007647B4">
        <w:rPr>
          <w:rFonts w:asciiTheme="minorHAnsi" w:hAnsiTheme="minorHAnsi" w:cstheme="minorHAnsi"/>
          <w:i/>
          <w:sz w:val="22"/>
          <w:szCs w:val="22"/>
        </w:rPr>
        <w:t>“RECOMMENDATION #4: Health Claim Advertising</w:t>
      </w:r>
    </w:p>
    <w:p w14:paraId="13C5FFF1" w14:textId="77777777" w:rsidR="00130103" w:rsidRPr="007647B4" w:rsidRDefault="00130103" w:rsidP="00130103">
      <w:pPr>
        <w:pStyle w:val="FootnoteText"/>
        <w:spacing w:after="120"/>
        <w:jc w:val="both"/>
        <w:rPr>
          <w:rFonts w:asciiTheme="minorHAnsi" w:hAnsiTheme="minorHAnsi" w:cstheme="minorHAnsi"/>
          <w:i/>
          <w:sz w:val="22"/>
          <w:szCs w:val="22"/>
        </w:rPr>
      </w:pPr>
      <w:r w:rsidRPr="007647B4">
        <w:rPr>
          <w:rFonts w:asciiTheme="minorHAnsi" w:hAnsiTheme="minorHAnsi" w:cstheme="minorHAnsi"/>
          <w:i/>
          <w:sz w:val="22"/>
          <w:szCs w:val="22"/>
        </w:rPr>
        <w:t>Adopted by the Subcommittee on: 3-1-18 Vote: 3-0-2</w:t>
      </w:r>
    </w:p>
    <w:p w14:paraId="57D290F4" w14:textId="253D75CA" w:rsidR="004D5771" w:rsidRPr="007647B4" w:rsidRDefault="00130103" w:rsidP="00804E4F">
      <w:pPr>
        <w:pStyle w:val="FootnoteText"/>
        <w:spacing w:after="120"/>
        <w:jc w:val="both"/>
        <w:rPr>
          <w:rFonts w:asciiTheme="minorHAnsi" w:hAnsiTheme="minorHAnsi" w:cstheme="minorHAnsi"/>
          <w:sz w:val="22"/>
          <w:szCs w:val="22"/>
        </w:rPr>
      </w:pPr>
      <w:r w:rsidRPr="007647B4">
        <w:rPr>
          <w:rFonts w:asciiTheme="minorHAnsi" w:hAnsiTheme="minorHAnsi" w:cstheme="minorHAnsi"/>
          <w:i/>
          <w:sz w:val="22"/>
          <w:szCs w:val="22"/>
        </w:rPr>
        <w:t xml:space="preserve">Recommendation: Adult-use cannabis should not be allowed to make health claims in </w:t>
      </w:r>
      <w:r w:rsidR="001E1684" w:rsidRPr="007647B4">
        <w:rPr>
          <w:rFonts w:asciiTheme="minorHAnsi" w:hAnsiTheme="minorHAnsi" w:cstheme="minorHAnsi"/>
          <w:i/>
          <w:sz w:val="22"/>
          <w:szCs w:val="22"/>
        </w:rPr>
        <w:t>advertising.</w:t>
      </w:r>
      <w:r w:rsidR="004D5771" w:rsidRPr="007647B4">
        <w:rPr>
          <w:rFonts w:asciiTheme="minorHAnsi" w:hAnsiTheme="minorHAnsi" w:cstheme="minorHAnsi"/>
          <w:sz w:val="22"/>
          <w:szCs w:val="22"/>
        </w:rPr>
        <w:t>”</w:t>
      </w:r>
      <w:r w:rsidR="00DA6B6F" w:rsidRPr="007647B4">
        <w:rPr>
          <w:rFonts w:asciiTheme="minorHAnsi" w:hAnsiTheme="minorHAnsi" w:cstheme="minorHAnsi"/>
          <w:sz w:val="22"/>
          <w:szCs w:val="22"/>
        </w:rPr>
        <w:t xml:space="preserve"> </w:t>
      </w:r>
      <w:r w:rsidR="004D5771" w:rsidRPr="007647B4">
        <w:rPr>
          <w:rFonts w:asciiTheme="minorHAnsi" w:hAnsiTheme="minorHAnsi" w:cstheme="minorHAnsi"/>
          <w:sz w:val="22"/>
          <w:szCs w:val="22"/>
        </w:rPr>
        <w:t>Furthermore, the recommendation would meet and further the mandate of the Medical and Adult-Use Safety Act (MAUCRSA) which:</w:t>
      </w:r>
    </w:p>
    <w:p w14:paraId="2B30F291" w14:textId="77777777" w:rsidR="00304DEA" w:rsidRPr="007647B4" w:rsidRDefault="00304DEA" w:rsidP="00531948">
      <w:pPr>
        <w:jc w:val="both"/>
        <w:rPr>
          <w:rFonts w:asciiTheme="minorHAnsi" w:hAnsiTheme="minorHAnsi" w:cstheme="minorHAnsi"/>
          <w:color w:val="000000" w:themeColor="text1"/>
          <w:sz w:val="22"/>
          <w:szCs w:val="22"/>
        </w:rPr>
      </w:pPr>
    </w:p>
    <w:p w14:paraId="3B23DD77" w14:textId="41DC9F06" w:rsidR="004D5771" w:rsidRPr="007647B4" w:rsidRDefault="004D5771" w:rsidP="00531948">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ab/>
        <w:t>1.</w:t>
      </w:r>
      <w:r w:rsidRPr="007647B4">
        <w:rPr>
          <w:rFonts w:asciiTheme="minorHAnsi" w:hAnsiTheme="minorHAnsi" w:cstheme="minorHAnsi"/>
          <w:color w:val="000000" w:themeColor="text1"/>
          <w:sz w:val="22"/>
          <w:szCs w:val="22"/>
        </w:rPr>
        <w:tab/>
        <w:t xml:space="preserve">Requires all advertising to “be truthful and appropriately substantiated.” (§ </w:t>
      </w:r>
      <w:r w:rsidRPr="007647B4">
        <w:rPr>
          <w:rFonts w:asciiTheme="minorHAnsi" w:hAnsiTheme="minorHAnsi" w:cstheme="minorHAnsi"/>
          <w:color w:val="000000" w:themeColor="text1"/>
          <w:sz w:val="22"/>
          <w:szCs w:val="22"/>
        </w:rPr>
        <w:tab/>
      </w:r>
      <w:r w:rsidRPr="007647B4">
        <w:rPr>
          <w:rFonts w:asciiTheme="minorHAnsi" w:hAnsiTheme="minorHAnsi" w:cstheme="minorHAnsi"/>
          <w:color w:val="000000" w:themeColor="text1"/>
          <w:sz w:val="22"/>
          <w:szCs w:val="22"/>
        </w:rPr>
        <w:tab/>
      </w:r>
      <w:r w:rsidRPr="007647B4">
        <w:rPr>
          <w:rFonts w:asciiTheme="minorHAnsi" w:hAnsiTheme="minorHAnsi" w:cstheme="minorHAnsi"/>
          <w:color w:val="000000" w:themeColor="text1"/>
          <w:sz w:val="22"/>
          <w:szCs w:val="22"/>
        </w:rPr>
        <w:tab/>
      </w:r>
      <w:r w:rsidR="00531948" w:rsidRPr="007647B4">
        <w:rPr>
          <w:rFonts w:asciiTheme="minorHAnsi" w:hAnsiTheme="minorHAnsi" w:cstheme="minorHAnsi"/>
          <w:color w:val="000000" w:themeColor="text1"/>
          <w:sz w:val="22"/>
          <w:szCs w:val="22"/>
        </w:rPr>
        <w:tab/>
      </w:r>
      <w:r w:rsidR="001E1684" w:rsidRPr="007647B4">
        <w:rPr>
          <w:rFonts w:asciiTheme="minorHAnsi" w:hAnsiTheme="minorHAnsi" w:cstheme="minorHAnsi"/>
          <w:color w:val="000000" w:themeColor="text1"/>
          <w:sz w:val="22"/>
          <w:szCs w:val="22"/>
        </w:rPr>
        <w:t>26151)</w:t>
      </w:r>
    </w:p>
    <w:p w14:paraId="369D3BAB" w14:textId="080C00DC" w:rsidR="006416EF" w:rsidRPr="007647B4" w:rsidRDefault="004D5771" w:rsidP="00531948">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ab/>
        <w:t>2.</w:t>
      </w:r>
      <w:r w:rsidRPr="007647B4">
        <w:rPr>
          <w:rFonts w:asciiTheme="minorHAnsi" w:hAnsiTheme="minorHAnsi" w:cstheme="minorHAnsi"/>
          <w:color w:val="000000" w:themeColor="text1"/>
          <w:sz w:val="22"/>
          <w:szCs w:val="22"/>
        </w:rPr>
        <w:tab/>
        <w:t xml:space="preserve">Prohibits a licensee from advertising or marketing in a manner that is </w:t>
      </w:r>
      <w:r w:rsidR="006416EF" w:rsidRPr="007647B4">
        <w:rPr>
          <w:rFonts w:asciiTheme="minorHAnsi" w:hAnsiTheme="minorHAnsi" w:cstheme="minorHAnsi"/>
          <w:color w:val="000000" w:themeColor="text1"/>
          <w:sz w:val="22"/>
          <w:szCs w:val="22"/>
        </w:rPr>
        <w:tab/>
      </w:r>
      <w:r w:rsidR="006416EF" w:rsidRPr="007647B4">
        <w:rPr>
          <w:rFonts w:asciiTheme="minorHAnsi" w:hAnsiTheme="minorHAnsi" w:cstheme="minorHAnsi"/>
          <w:color w:val="000000" w:themeColor="text1"/>
          <w:sz w:val="22"/>
          <w:szCs w:val="22"/>
        </w:rPr>
        <w:tab/>
      </w:r>
      <w:r w:rsidR="006416EF" w:rsidRPr="007647B4">
        <w:rPr>
          <w:rFonts w:asciiTheme="minorHAnsi" w:hAnsiTheme="minorHAnsi" w:cstheme="minorHAnsi"/>
          <w:color w:val="000000" w:themeColor="text1"/>
          <w:sz w:val="22"/>
          <w:szCs w:val="22"/>
        </w:rPr>
        <w:tab/>
      </w:r>
      <w:r w:rsidR="00531948" w:rsidRPr="007647B4">
        <w:rPr>
          <w:rFonts w:asciiTheme="minorHAnsi" w:hAnsiTheme="minorHAnsi" w:cstheme="minorHAnsi"/>
          <w:color w:val="000000" w:themeColor="text1"/>
          <w:sz w:val="22"/>
          <w:szCs w:val="22"/>
        </w:rPr>
        <w:tab/>
      </w:r>
      <w:r w:rsidR="00531948" w:rsidRPr="007647B4">
        <w:rPr>
          <w:rFonts w:asciiTheme="minorHAnsi" w:hAnsiTheme="minorHAnsi" w:cstheme="minorHAnsi"/>
          <w:color w:val="000000" w:themeColor="text1"/>
          <w:sz w:val="22"/>
          <w:szCs w:val="22"/>
        </w:rPr>
        <w:tab/>
      </w:r>
      <w:r w:rsidRPr="007647B4">
        <w:rPr>
          <w:rFonts w:asciiTheme="minorHAnsi" w:hAnsiTheme="minorHAnsi" w:cstheme="minorHAnsi"/>
          <w:color w:val="000000" w:themeColor="text1"/>
          <w:sz w:val="22"/>
          <w:szCs w:val="22"/>
        </w:rPr>
        <w:t xml:space="preserve">“false or untrue in any material particular, or that, irrespective of falsity, </w:t>
      </w:r>
      <w:r w:rsidR="006416EF" w:rsidRPr="007647B4">
        <w:rPr>
          <w:rFonts w:asciiTheme="minorHAnsi" w:hAnsiTheme="minorHAnsi" w:cstheme="minorHAnsi"/>
          <w:color w:val="000000" w:themeColor="text1"/>
          <w:sz w:val="22"/>
          <w:szCs w:val="22"/>
        </w:rPr>
        <w:tab/>
      </w:r>
      <w:r w:rsidR="006416EF" w:rsidRPr="007647B4">
        <w:rPr>
          <w:rFonts w:asciiTheme="minorHAnsi" w:hAnsiTheme="minorHAnsi" w:cstheme="minorHAnsi"/>
          <w:color w:val="000000" w:themeColor="text1"/>
          <w:sz w:val="22"/>
          <w:szCs w:val="22"/>
        </w:rPr>
        <w:tab/>
      </w:r>
      <w:r w:rsidR="006416EF" w:rsidRPr="007647B4">
        <w:rPr>
          <w:rFonts w:asciiTheme="minorHAnsi" w:hAnsiTheme="minorHAnsi" w:cstheme="minorHAnsi"/>
          <w:color w:val="000000" w:themeColor="text1"/>
          <w:sz w:val="22"/>
          <w:szCs w:val="22"/>
        </w:rPr>
        <w:tab/>
      </w:r>
      <w:r w:rsidR="00531948" w:rsidRPr="007647B4">
        <w:rPr>
          <w:rFonts w:asciiTheme="minorHAnsi" w:hAnsiTheme="minorHAnsi" w:cstheme="minorHAnsi"/>
          <w:color w:val="000000" w:themeColor="text1"/>
          <w:sz w:val="22"/>
          <w:szCs w:val="22"/>
        </w:rPr>
        <w:tab/>
      </w:r>
      <w:r w:rsidRPr="007647B4">
        <w:rPr>
          <w:rFonts w:asciiTheme="minorHAnsi" w:hAnsiTheme="minorHAnsi" w:cstheme="minorHAnsi"/>
          <w:color w:val="000000" w:themeColor="text1"/>
          <w:sz w:val="22"/>
          <w:szCs w:val="22"/>
        </w:rPr>
        <w:t xml:space="preserve">directly, or by ambiguity, omission, or inference, or by the addition of </w:t>
      </w:r>
      <w:r w:rsidR="006416EF" w:rsidRPr="007647B4">
        <w:rPr>
          <w:rFonts w:asciiTheme="minorHAnsi" w:hAnsiTheme="minorHAnsi" w:cstheme="minorHAnsi"/>
          <w:color w:val="000000" w:themeColor="text1"/>
          <w:sz w:val="22"/>
          <w:szCs w:val="22"/>
        </w:rPr>
        <w:tab/>
      </w:r>
      <w:r w:rsidR="006416EF" w:rsidRPr="007647B4">
        <w:rPr>
          <w:rFonts w:asciiTheme="minorHAnsi" w:hAnsiTheme="minorHAnsi" w:cstheme="minorHAnsi"/>
          <w:color w:val="000000" w:themeColor="text1"/>
          <w:sz w:val="22"/>
          <w:szCs w:val="22"/>
        </w:rPr>
        <w:tab/>
      </w:r>
      <w:r w:rsidR="006416EF" w:rsidRPr="007647B4">
        <w:rPr>
          <w:rFonts w:asciiTheme="minorHAnsi" w:hAnsiTheme="minorHAnsi" w:cstheme="minorHAnsi"/>
          <w:color w:val="000000" w:themeColor="text1"/>
          <w:sz w:val="22"/>
          <w:szCs w:val="22"/>
        </w:rPr>
        <w:tab/>
      </w:r>
      <w:r w:rsidR="00531948" w:rsidRPr="007647B4">
        <w:rPr>
          <w:rFonts w:asciiTheme="minorHAnsi" w:hAnsiTheme="minorHAnsi" w:cstheme="minorHAnsi"/>
          <w:color w:val="000000" w:themeColor="text1"/>
          <w:sz w:val="22"/>
          <w:szCs w:val="22"/>
        </w:rPr>
        <w:tab/>
      </w:r>
      <w:r w:rsidR="00531948" w:rsidRPr="007647B4">
        <w:rPr>
          <w:rFonts w:asciiTheme="minorHAnsi" w:hAnsiTheme="minorHAnsi" w:cstheme="minorHAnsi"/>
          <w:color w:val="000000" w:themeColor="text1"/>
          <w:sz w:val="22"/>
          <w:szCs w:val="22"/>
        </w:rPr>
        <w:tab/>
      </w:r>
      <w:r w:rsidRPr="007647B4">
        <w:rPr>
          <w:rFonts w:asciiTheme="minorHAnsi" w:hAnsiTheme="minorHAnsi" w:cstheme="minorHAnsi"/>
          <w:color w:val="000000" w:themeColor="text1"/>
          <w:sz w:val="22"/>
          <w:szCs w:val="22"/>
        </w:rPr>
        <w:t xml:space="preserve">irrelevant, scientific, or technical matter, tends to create a misleading </w:t>
      </w:r>
      <w:r w:rsidR="006416EF" w:rsidRPr="007647B4">
        <w:rPr>
          <w:rFonts w:asciiTheme="minorHAnsi" w:hAnsiTheme="minorHAnsi" w:cstheme="minorHAnsi"/>
          <w:color w:val="000000" w:themeColor="text1"/>
          <w:sz w:val="22"/>
          <w:szCs w:val="22"/>
        </w:rPr>
        <w:tab/>
      </w:r>
      <w:r w:rsidR="006416EF" w:rsidRPr="007647B4">
        <w:rPr>
          <w:rFonts w:asciiTheme="minorHAnsi" w:hAnsiTheme="minorHAnsi" w:cstheme="minorHAnsi"/>
          <w:color w:val="000000" w:themeColor="text1"/>
          <w:sz w:val="22"/>
          <w:szCs w:val="22"/>
        </w:rPr>
        <w:tab/>
      </w:r>
      <w:r w:rsidR="006416EF" w:rsidRPr="007647B4">
        <w:rPr>
          <w:rFonts w:asciiTheme="minorHAnsi" w:hAnsiTheme="minorHAnsi" w:cstheme="minorHAnsi"/>
          <w:color w:val="000000" w:themeColor="text1"/>
          <w:sz w:val="22"/>
          <w:szCs w:val="22"/>
        </w:rPr>
        <w:tab/>
      </w:r>
      <w:r w:rsidR="00531948" w:rsidRPr="007647B4">
        <w:rPr>
          <w:rFonts w:asciiTheme="minorHAnsi" w:hAnsiTheme="minorHAnsi" w:cstheme="minorHAnsi"/>
          <w:color w:val="000000" w:themeColor="text1"/>
          <w:sz w:val="22"/>
          <w:szCs w:val="22"/>
        </w:rPr>
        <w:tab/>
      </w:r>
      <w:r w:rsidR="00531948" w:rsidRPr="007647B4">
        <w:rPr>
          <w:rFonts w:asciiTheme="minorHAnsi" w:hAnsiTheme="minorHAnsi" w:cstheme="minorHAnsi"/>
          <w:color w:val="000000" w:themeColor="text1"/>
          <w:sz w:val="22"/>
          <w:szCs w:val="22"/>
        </w:rPr>
        <w:tab/>
      </w:r>
      <w:r w:rsidRPr="007647B4">
        <w:rPr>
          <w:rFonts w:asciiTheme="minorHAnsi" w:hAnsiTheme="minorHAnsi" w:cstheme="minorHAnsi"/>
          <w:color w:val="000000" w:themeColor="text1"/>
          <w:sz w:val="22"/>
          <w:szCs w:val="22"/>
        </w:rPr>
        <w:t>impression.” (§26152)</w:t>
      </w:r>
    </w:p>
    <w:p w14:paraId="68650F3C" w14:textId="47CD7E73" w:rsidR="004D5771" w:rsidRPr="007647B4" w:rsidRDefault="004D5771" w:rsidP="00531948">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ab/>
        <w:t>3.</w:t>
      </w:r>
      <w:r w:rsidRPr="007647B4">
        <w:rPr>
          <w:rFonts w:asciiTheme="minorHAnsi" w:hAnsiTheme="minorHAnsi" w:cstheme="minorHAnsi"/>
          <w:color w:val="000000" w:themeColor="text1"/>
          <w:sz w:val="22"/>
          <w:szCs w:val="22"/>
        </w:rPr>
        <w:tab/>
        <w:t xml:space="preserve">Prohibits a licensee from publishing or disseminating “advertising or </w:t>
      </w:r>
      <w:r w:rsidR="006416EF" w:rsidRPr="007647B4">
        <w:rPr>
          <w:rFonts w:asciiTheme="minorHAnsi" w:hAnsiTheme="minorHAnsi" w:cstheme="minorHAnsi"/>
          <w:color w:val="000000" w:themeColor="text1"/>
          <w:sz w:val="22"/>
          <w:szCs w:val="22"/>
        </w:rPr>
        <w:tab/>
      </w:r>
      <w:r w:rsidR="006416EF" w:rsidRPr="007647B4">
        <w:rPr>
          <w:rFonts w:asciiTheme="minorHAnsi" w:hAnsiTheme="minorHAnsi" w:cstheme="minorHAnsi"/>
          <w:color w:val="000000" w:themeColor="text1"/>
          <w:sz w:val="22"/>
          <w:szCs w:val="22"/>
        </w:rPr>
        <w:tab/>
      </w:r>
      <w:r w:rsidR="006416EF" w:rsidRPr="007647B4">
        <w:rPr>
          <w:rFonts w:asciiTheme="minorHAnsi" w:hAnsiTheme="minorHAnsi" w:cstheme="minorHAnsi"/>
          <w:color w:val="000000" w:themeColor="text1"/>
          <w:sz w:val="22"/>
          <w:szCs w:val="22"/>
        </w:rPr>
        <w:tab/>
      </w:r>
      <w:r w:rsidR="00531948" w:rsidRPr="007647B4">
        <w:rPr>
          <w:rFonts w:asciiTheme="minorHAnsi" w:hAnsiTheme="minorHAnsi" w:cstheme="minorHAnsi"/>
          <w:color w:val="000000" w:themeColor="text1"/>
          <w:sz w:val="22"/>
          <w:szCs w:val="22"/>
        </w:rPr>
        <w:tab/>
      </w:r>
      <w:r w:rsidR="00531948" w:rsidRPr="007647B4">
        <w:rPr>
          <w:rFonts w:asciiTheme="minorHAnsi" w:hAnsiTheme="minorHAnsi" w:cstheme="minorHAnsi"/>
          <w:color w:val="000000" w:themeColor="text1"/>
          <w:sz w:val="22"/>
          <w:szCs w:val="22"/>
        </w:rPr>
        <w:tab/>
      </w:r>
      <w:r w:rsidRPr="007647B4">
        <w:rPr>
          <w:rFonts w:asciiTheme="minorHAnsi" w:hAnsiTheme="minorHAnsi" w:cstheme="minorHAnsi"/>
          <w:color w:val="000000" w:themeColor="text1"/>
          <w:sz w:val="22"/>
          <w:szCs w:val="22"/>
        </w:rPr>
        <w:t xml:space="preserve">marketing containing any health-related statement[s] that [are] untrue in </w:t>
      </w:r>
      <w:r w:rsidR="006416EF" w:rsidRPr="007647B4">
        <w:rPr>
          <w:rFonts w:asciiTheme="minorHAnsi" w:hAnsiTheme="minorHAnsi" w:cstheme="minorHAnsi"/>
          <w:color w:val="000000" w:themeColor="text1"/>
          <w:sz w:val="22"/>
          <w:szCs w:val="22"/>
        </w:rPr>
        <w:tab/>
      </w:r>
      <w:r w:rsidR="006416EF" w:rsidRPr="007647B4">
        <w:rPr>
          <w:rFonts w:asciiTheme="minorHAnsi" w:hAnsiTheme="minorHAnsi" w:cstheme="minorHAnsi"/>
          <w:color w:val="000000" w:themeColor="text1"/>
          <w:sz w:val="22"/>
          <w:szCs w:val="22"/>
        </w:rPr>
        <w:tab/>
      </w:r>
      <w:r w:rsidR="006416EF" w:rsidRPr="007647B4">
        <w:rPr>
          <w:rFonts w:asciiTheme="minorHAnsi" w:hAnsiTheme="minorHAnsi" w:cstheme="minorHAnsi"/>
          <w:color w:val="000000" w:themeColor="text1"/>
          <w:sz w:val="22"/>
          <w:szCs w:val="22"/>
        </w:rPr>
        <w:tab/>
      </w:r>
      <w:r w:rsidR="00531948" w:rsidRPr="007647B4">
        <w:rPr>
          <w:rFonts w:asciiTheme="minorHAnsi" w:hAnsiTheme="minorHAnsi" w:cstheme="minorHAnsi"/>
          <w:color w:val="000000" w:themeColor="text1"/>
          <w:sz w:val="22"/>
          <w:szCs w:val="22"/>
        </w:rPr>
        <w:tab/>
      </w:r>
      <w:r w:rsidRPr="007647B4">
        <w:rPr>
          <w:rFonts w:asciiTheme="minorHAnsi" w:hAnsiTheme="minorHAnsi" w:cstheme="minorHAnsi"/>
          <w:color w:val="000000" w:themeColor="text1"/>
          <w:sz w:val="22"/>
          <w:szCs w:val="22"/>
        </w:rPr>
        <w:t xml:space="preserve">any particular manner or tends to create a misleading impression as to the </w:t>
      </w:r>
      <w:r w:rsidR="006416EF" w:rsidRPr="007647B4">
        <w:rPr>
          <w:rFonts w:asciiTheme="minorHAnsi" w:hAnsiTheme="minorHAnsi" w:cstheme="minorHAnsi"/>
          <w:color w:val="000000" w:themeColor="text1"/>
          <w:sz w:val="22"/>
          <w:szCs w:val="22"/>
        </w:rPr>
        <w:tab/>
      </w:r>
      <w:r w:rsidR="006416EF" w:rsidRPr="007647B4">
        <w:rPr>
          <w:rFonts w:asciiTheme="minorHAnsi" w:hAnsiTheme="minorHAnsi" w:cstheme="minorHAnsi"/>
          <w:color w:val="000000" w:themeColor="text1"/>
          <w:sz w:val="22"/>
          <w:szCs w:val="22"/>
        </w:rPr>
        <w:tab/>
      </w:r>
      <w:r w:rsidR="00531948" w:rsidRPr="007647B4">
        <w:rPr>
          <w:rFonts w:asciiTheme="minorHAnsi" w:hAnsiTheme="minorHAnsi" w:cstheme="minorHAnsi"/>
          <w:color w:val="000000" w:themeColor="text1"/>
          <w:sz w:val="22"/>
          <w:szCs w:val="22"/>
        </w:rPr>
        <w:tab/>
      </w:r>
      <w:r w:rsidR="00531948" w:rsidRPr="007647B4">
        <w:rPr>
          <w:rFonts w:asciiTheme="minorHAnsi" w:hAnsiTheme="minorHAnsi" w:cstheme="minorHAnsi"/>
          <w:color w:val="000000" w:themeColor="text1"/>
          <w:sz w:val="22"/>
          <w:szCs w:val="22"/>
        </w:rPr>
        <w:tab/>
      </w:r>
      <w:r w:rsidRPr="007647B4">
        <w:rPr>
          <w:rFonts w:asciiTheme="minorHAnsi" w:hAnsiTheme="minorHAnsi" w:cstheme="minorHAnsi"/>
          <w:color w:val="000000" w:themeColor="text1"/>
          <w:sz w:val="22"/>
          <w:szCs w:val="22"/>
        </w:rPr>
        <w:t>effects on health of cannabis consumption</w:t>
      </w:r>
      <w:r w:rsidR="001E1684" w:rsidRPr="007647B4">
        <w:rPr>
          <w:rFonts w:asciiTheme="minorHAnsi" w:hAnsiTheme="minorHAnsi" w:cstheme="minorHAnsi"/>
          <w:color w:val="000000" w:themeColor="text1"/>
          <w:sz w:val="22"/>
          <w:szCs w:val="22"/>
        </w:rPr>
        <w:t>.” (</w:t>
      </w:r>
      <w:r w:rsidRPr="007647B4">
        <w:rPr>
          <w:rFonts w:asciiTheme="minorHAnsi" w:hAnsiTheme="minorHAnsi" w:cstheme="minorHAnsi"/>
          <w:color w:val="000000" w:themeColor="text1"/>
          <w:sz w:val="22"/>
          <w:szCs w:val="22"/>
        </w:rPr>
        <w:t>§26154)</w:t>
      </w:r>
    </w:p>
    <w:p w14:paraId="08C06AD3" w14:textId="5CA6B3EB" w:rsidR="004D5771" w:rsidRPr="007647B4" w:rsidRDefault="004D5771" w:rsidP="00531948">
      <w:pPr>
        <w:jc w:val="both"/>
        <w:rPr>
          <w:rFonts w:asciiTheme="minorHAnsi" w:hAnsiTheme="minorHAnsi" w:cstheme="minorHAnsi"/>
          <w:color w:val="000000" w:themeColor="text1"/>
          <w:sz w:val="22"/>
          <w:szCs w:val="22"/>
        </w:rPr>
      </w:pPr>
    </w:p>
    <w:p w14:paraId="46C5C63F" w14:textId="6EEA8563" w:rsidR="004602D7" w:rsidRPr="007647B4" w:rsidRDefault="004D5771" w:rsidP="00531948">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If such health-related claims are allowed, we have significant concerns about the adequacy of the infrastructure in place to regulate and monitor those claims. CDPH does not have the </w:t>
      </w:r>
      <w:r w:rsidR="0055768C" w:rsidRPr="007647B4">
        <w:rPr>
          <w:rFonts w:asciiTheme="minorHAnsi" w:hAnsiTheme="minorHAnsi" w:cstheme="minorHAnsi"/>
          <w:color w:val="000000" w:themeColor="text1"/>
          <w:sz w:val="22"/>
          <w:szCs w:val="22"/>
        </w:rPr>
        <w:t>FDA-like structures</w:t>
      </w:r>
      <w:r w:rsidR="009E43E5" w:rsidRPr="007647B4">
        <w:rPr>
          <w:rFonts w:asciiTheme="minorHAnsi" w:hAnsiTheme="minorHAnsi" w:cstheme="minorHAnsi"/>
          <w:color w:val="000000" w:themeColor="text1"/>
          <w:sz w:val="22"/>
          <w:szCs w:val="22"/>
        </w:rPr>
        <w:t>, staff</w:t>
      </w:r>
      <w:r w:rsidR="0055768C" w:rsidRPr="007647B4">
        <w:rPr>
          <w:rFonts w:asciiTheme="minorHAnsi" w:hAnsiTheme="minorHAnsi" w:cstheme="minorHAnsi"/>
          <w:color w:val="000000" w:themeColor="text1"/>
          <w:sz w:val="22"/>
          <w:szCs w:val="22"/>
        </w:rPr>
        <w:t xml:space="preserve"> and resources to ascertain the validity of these claims and there is no funding currently in place to allow CDPH to take on this type of role. Furthermore, there are no clear guidelines in place for ascertaining the validity of such health-related claims.</w:t>
      </w:r>
      <w:r w:rsidR="00DA6B6F" w:rsidRPr="007647B4">
        <w:rPr>
          <w:rFonts w:asciiTheme="minorHAnsi" w:hAnsiTheme="minorHAnsi" w:cstheme="minorHAnsi"/>
          <w:color w:val="000000" w:themeColor="text1"/>
          <w:sz w:val="22"/>
          <w:szCs w:val="22"/>
        </w:rPr>
        <w:t xml:space="preserve"> </w:t>
      </w:r>
      <w:r w:rsidR="0055768C" w:rsidRPr="007647B4">
        <w:rPr>
          <w:rFonts w:asciiTheme="minorHAnsi" w:hAnsiTheme="minorHAnsi" w:cstheme="minorHAnsi"/>
          <w:color w:val="000000" w:themeColor="text1"/>
          <w:sz w:val="22"/>
          <w:szCs w:val="22"/>
        </w:rPr>
        <w:t>We know from longstanding experience at FDA and other similar regulatory bodies that it requires a high level of investment and scientific staff capability to reliably verify these claims. Since the state does not appear to be investing in that capability, such claims should not be allowed at this time.</w:t>
      </w:r>
    </w:p>
    <w:p w14:paraId="5A8A9260" w14:textId="5B63B16A" w:rsidR="00CB1EF0" w:rsidRPr="007647B4" w:rsidRDefault="00CB1EF0" w:rsidP="00531948">
      <w:pPr>
        <w:jc w:val="both"/>
        <w:rPr>
          <w:rFonts w:asciiTheme="minorHAnsi" w:hAnsiTheme="minorHAnsi" w:cstheme="minorHAnsi"/>
          <w:color w:val="000000" w:themeColor="text1"/>
          <w:sz w:val="22"/>
          <w:szCs w:val="22"/>
        </w:rPr>
      </w:pPr>
    </w:p>
    <w:p w14:paraId="0A743161" w14:textId="3178D061" w:rsidR="00F82CDC" w:rsidRPr="007647B4" w:rsidRDefault="00932F13" w:rsidP="00531948">
      <w:pPr>
        <w:ind w:left="360"/>
        <w:jc w:val="both"/>
        <w:rPr>
          <w:rFonts w:asciiTheme="minorHAnsi" w:hAnsiTheme="minorHAnsi" w:cstheme="minorHAnsi"/>
          <w:b/>
          <w:color w:val="000000" w:themeColor="text1"/>
          <w:sz w:val="22"/>
          <w:szCs w:val="22"/>
        </w:rPr>
      </w:pPr>
      <w:r w:rsidRPr="007647B4">
        <w:rPr>
          <w:rFonts w:asciiTheme="minorHAnsi" w:hAnsiTheme="minorHAnsi" w:cstheme="minorHAnsi"/>
          <w:b/>
          <w:color w:val="000000" w:themeColor="text1"/>
          <w:sz w:val="22"/>
          <w:szCs w:val="22"/>
        </w:rPr>
        <w:t>1</w:t>
      </w:r>
      <w:r w:rsidR="002F3B3D" w:rsidRPr="007647B4">
        <w:rPr>
          <w:rFonts w:asciiTheme="minorHAnsi" w:hAnsiTheme="minorHAnsi" w:cstheme="minorHAnsi"/>
          <w:b/>
          <w:color w:val="000000" w:themeColor="text1"/>
          <w:sz w:val="22"/>
          <w:szCs w:val="22"/>
        </w:rPr>
        <w:t>0</w:t>
      </w:r>
      <w:r w:rsidRPr="007647B4">
        <w:rPr>
          <w:rFonts w:asciiTheme="minorHAnsi" w:hAnsiTheme="minorHAnsi" w:cstheme="minorHAnsi"/>
          <w:b/>
          <w:color w:val="000000" w:themeColor="text1"/>
          <w:sz w:val="22"/>
          <w:szCs w:val="22"/>
        </w:rPr>
        <w:t>.b</w:t>
      </w:r>
      <w:r w:rsidR="002F3B3D" w:rsidRPr="007647B4">
        <w:rPr>
          <w:rFonts w:asciiTheme="minorHAnsi" w:hAnsiTheme="minorHAnsi" w:cstheme="minorHAnsi"/>
          <w:b/>
          <w:color w:val="000000" w:themeColor="text1"/>
          <w:sz w:val="22"/>
          <w:szCs w:val="22"/>
        </w:rPr>
        <w:t>.</w:t>
      </w:r>
      <w:r w:rsidRPr="007647B4">
        <w:rPr>
          <w:rFonts w:asciiTheme="minorHAnsi" w:hAnsiTheme="minorHAnsi" w:cstheme="minorHAnsi"/>
          <w:b/>
          <w:color w:val="000000" w:themeColor="text1"/>
          <w:sz w:val="22"/>
          <w:szCs w:val="22"/>
        </w:rPr>
        <w:t xml:space="preserve">) </w:t>
      </w:r>
      <w:r w:rsidR="00F82CDC" w:rsidRPr="007647B4">
        <w:rPr>
          <w:rFonts w:asciiTheme="minorHAnsi" w:hAnsiTheme="minorHAnsi" w:cstheme="minorHAnsi"/>
          <w:b/>
          <w:color w:val="000000" w:themeColor="text1"/>
          <w:sz w:val="22"/>
          <w:szCs w:val="22"/>
        </w:rPr>
        <w:t>Warnings Labels on Advertising</w:t>
      </w:r>
    </w:p>
    <w:p w14:paraId="7962FA6C" w14:textId="77777777" w:rsidR="00F82CDC" w:rsidRPr="00D32EBA" w:rsidRDefault="00F82CDC" w:rsidP="00531948">
      <w:pPr>
        <w:pStyle w:val="ListParagraph"/>
        <w:jc w:val="both"/>
        <w:rPr>
          <w:rFonts w:asciiTheme="minorHAnsi" w:hAnsiTheme="minorHAnsi" w:cstheme="minorHAnsi"/>
          <w:color w:val="000000" w:themeColor="text1"/>
          <w:sz w:val="22"/>
          <w:szCs w:val="22"/>
        </w:rPr>
      </w:pPr>
    </w:p>
    <w:p w14:paraId="399625ED" w14:textId="2CBBD366" w:rsidR="00CB1EF0" w:rsidRPr="007647B4" w:rsidRDefault="00CB1EF0" w:rsidP="00531948">
      <w:pPr>
        <w:pStyle w:val="ListParagraph"/>
        <w:ind w:left="0"/>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We strongly recommend the requirement for a prominent warning label statement on any and all cannabis advertising, similar to that on tobacco advertising, including on branded merchandise. Any advertiser who posts or who causes to be posted a </w:t>
      </w:r>
      <w:r w:rsidR="00DB17BA" w:rsidRPr="007647B4">
        <w:rPr>
          <w:rFonts w:asciiTheme="minorHAnsi" w:hAnsiTheme="minorHAnsi" w:cstheme="minorHAnsi"/>
          <w:color w:val="000000" w:themeColor="text1"/>
          <w:sz w:val="22"/>
          <w:szCs w:val="22"/>
        </w:rPr>
        <w:t>c</w:t>
      </w:r>
      <w:r w:rsidRPr="007647B4">
        <w:rPr>
          <w:rFonts w:asciiTheme="minorHAnsi" w:hAnsiTheme="minorHAnsi" w:cstheme="minorHAnsi"/>
          <w:color w:val="000000" w:themeColor="text1"/>
          <w:sz w:val="22"/>
          <w:szCs w:val="22"/>
        </w:rPr>
        <w:t xml:space="preserve">annabis </w:t>
      </w:r>
      <w:r w:rsidR="00DB17BA" w:rsidRPr="007647B4">
        <w:rPr>
          <w:rFonts w:asciiTheme="minorHAnsi" w:hAnsiTheme="minorHAnsi" w:cstheme="minorHAnsi"/>
          <w:color w:val="000000" w:themeColor="text1"/>
          <w:sz w:val="22"/>
          <w:szCs w:val="22"/>
        </w:rPr>
        <w:t>r</w:t>
      </w:r>
      <w:r w:rsidRPr="007647B4">
        <w:rPr>
          <w:rFonts w:asciiTheme="minorHAnsi" w:hAnsiTheme="minorHAnsi" w:cstheme="minorHAnsi"/>
          <w:color w:val="000000" w:themeColor="text1"/>
          <w:sz w:val="22"/>
          <w:szCs w:val="22"/>
        </w:rPr>
        <w:t xml:space="preserve">etail business, </w:t>
      </w:r>
      <w:r w:rsidR="00DB17BA" w:rsidRPr="007647B4">
        <w:rPr>
          <w:rFonts w:asciiTheme="minorHAnsi" w:hAnsiTheme="minorHAnsi" w:cstheme="minorHAnsi"/>
          <w:color w:val="000000" w:themeColor="text1"/>
          <w:sz w:val="22"/>
          <w:szCs w:val="22"/>
        </w:rPr>
        <w:t>c</w:t>
      </w:r>
      <w:r w:rsidRPr="007647B4">
        <w:rPr>
          <w:rFonts w:asciiTheme="minorHAnsi" w:hAnsiTheme="minorHAnsi" w:cstheme="minorHAnsi"/>
          <w:color w:val="000000" w:themeColor="text1"/>
          <w:sz w:val="22"/>
          <w:szCs w:val="22"/>
        </w:rPr>
        <w:t xml:space="preserve">annabis or </w:t>
      </w:r>
      <w:r w:rsidR="00DB17BA" w:rsidRPr="007647B4">
        <w:rPr>
          <w:rFonts w:asciiTheme="minorHAnsi" w:hAnsiTheme="minorHAnsi" w:cstheme="minorHAnsi"/>
          <w:color w:val="000000" w:themeColor="text1"/>
          <w:sz w:val="22"/>
          <w:szCs w:val="22"/>
        </w:rPr>
        <w:t>c</w:t>
      </w:r>
      <w:r w:rsidRPr="007647B4">
        <w:rPr>
          <w:rFonts w:asciiTheme="minorHAnsi" w:hAnsiTheme="minorHAnsi" w:cstheme="minorHAnsi"/>
          <w:color w:val="000000" w:themeColor="text1"/>
          <w:sz w:val="22"/>
          <w:szCs w:val="22"/>
        </w:rPr>
        <w:t xml:space="preserve">annabis </w:t>
      </w:r>
      <w:r w:rsidR="00DB17BA" w:rsidRPr="007647B4">
        <w:rPr>
          <w:rFonts w:asciiTheme="minorHAnsi" w:hAnsiTheme="minorHAnsi" w:cstheme="minorHAnsi"/>
          <w:color w:val="000000" w:themeColor="text1"/>
          <w:sz w:val="22"/>
          <w:szCs w:val="22"/>
        </w:rPr>
        <w:t>p</w:t>
      </w:r>
      <w:r w:rsidRPr="007647B4">
        <w:rPr>
          <w:rFonts w:asciiTheme="minorHAnsi" w:hAnsiTheme="minorHAnsi" w:cstheme="minorHAnsi"/>
          <w:color w:val="000000" w:themeColor="text1"/>
          <w:sz w:val="22"/>
          <w:szCs w:val="22"/>
        </w:rPr>
        <w:t xml:space="preserve">roduct </w:t>
      </w:r>
      <w:r w:rsidRPr="007647B4">
        <w:rPr>
          <w:rFonts w:asciiTheme="minorHAnsi" w:hAnsiTheme="minorHAnsi" w:cstheme="minorHAnsi"/>
          <w:color w:val="000000" w:themeColor="text1"/>
          <w:sz w:val="22"/>
          <w:szCs w:val="22"/>
        </w:rPr>
        <w:lastRenderedPageBreak/>
        <w:t xml:space="preserve">advertisement including, without limitation, any logo that identifies, promotes, or markets a retailer name, </w:t>
      </w:r>
      <w:r w:rsidR="00DB17BA" w:rsidRPr="007647B4">
        <w:rPr>
          <w:rFonts w:asciiTheme="minorHAnsi" w:hAnsiTheme="minorHAnsi" w:cstheme="minorHAnsi"/>
          <w:color w:val="000000" w:themeColor="text1"/>
          <w:sz w:val="22"/>
          <w:szCs w:val="22"/>
        </w:rPr>
        <w:t>c</w:t>
      </w:r>
      <w:r w:rsidRPr="007647B4">
        <w:rPr>
          <w:rFonts w:asciiTheme="minorHAnsi" w:hAnsiTheme="minorHAnsi" w:cstheme="minorHAnsi"/>
          <w:color w:val="000000" w:themeColor="text1"/>
          <w:sz w:val="22"/>
          <w:szCs w:val="22"/>
        </w:rPr>
        <w:t xml:space="preserve">annabis or a </w:t>
      </w:r>
      <w:r w:rsidR="00DB17BA" w:rsidRPr="007647B4">
        <w:rPr>
          <w:rFonts w:asciiTheme="minorHAnsi" w:hAnsiTheme="minorHAnsi" w:cstheme="minorHAnsi"/>
          <w:color w:val="000000" w:themeColor="text1"/>
          <w:sz w:val="22"/>
          <w:szCs w:val="22"/>
        </w:rPr>
        <w:t>c</w:t>
      </w:r>
      <w:r w:rsidRPr="007647B4">
        <w:rPr>
          <w:rFonts w:asciiTheme="minorHAnsi" w:hAnsiTheme="minorHAnsi" w:cstheme="minorHAnsi"/>
          <w:color w:val="000000" w:themeColor="text1"/>
          <w:sz w:val="22"/>
          <w:szCs w:val="22"/>
        </w:rPr>
        <w:t xml:space="preserve">annabis </w:t>
      </w:r>
      <w:r w:rsidR="00DB17BA" w:rsidRPr="007647B4">
        <w:rPr>
          <w:rFonts w:asciiTheme="minorHAnsi" w:hAnsiTheme="minorHAnsi" w:cstheme="minorHAnsi"/>
          <w:color w:val="000000" w:themeColor="text1"/>
          <w:sz w:val="22"/>
          <w:szCs w:val="22"/>
        </w:rPr>
        <w:t>p</w:t>
      </w:r>
      <w:r w:rsidRPr="007647B4">
        <w:rPr>
          <w:rFonts w:asciiTheme="minorHAnsi" w:hAnsiTheme="minorHAnsi" w:cstheme="minorHAnsi"/>
          <w:color w:val="000000" w:themeColor="text1"/>
          <w:sz w:val="22"/>
          <w:szCs w:val="22"/>
        </w:rPr>
        <w:t>roduct, or brand name that is for sale in the State should be required to place on the advertisement one</w:t>
      </w:r>
      <w:r w:rsidR="009E43E5"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of the following warning statements:</w:t>
      </w:r>
    </w:p>
    <w:p w14:paraId="1A9A1ACF" w14:textId="5039CBF0" w:rsidR="00CB1EF0" w:rsidRPr="007647B4" w:rsidRDefault="00CB1EF0" w:rsidP="009367D6">
      <w:pPr>
        <w:jc w:val="both"/>
        <w:rPr>
          <w:rFonts w:asciiTheme="minorHAnsi" w:hAnsiTheme="minorHAnsi" w:cstheme="minorHAnsi"/>
          <w:color w:val="000000" w:themeColor="text1"/>
          <w:sz w:val="22"/>
          <w:szCs w:val="22"/>
        </w:rPr>
      </w:pPr>
    </w:p>
    <w:p w14:paraId="7317322B" w14:textId="6CA4B795" w:rsidR="00CB1EF0" w:rsidRPr="007647B4" w:rsidRDefault="00CB1EF0" w:rsidP="007647B4">
      <w:pPr>
        <w:ind w:left="1440" w:hanging="720"/>
        <w:jc w:val="both"/>
        <w:rPr>
          <w:rFonts w:asciiTheme="minorHAnsi" w:hAnsiTheme="minorHAnsi" w:cstheme="minorHAnsi"/>
          <w:color w:val="000000" w:themeColor="text1"/>
          <w:sz w:val="22"/>
          <w:szCs w:val="22"/>
        </w:rPr>
      </w:pPr>
      <w:proofErr w:type="spellStart"/>
      <w:r w:rsidRPr="007647B4">
        <w:rPr>
          <w:rFonts w:asciiTheme="minorHAnsi" w:hAnsiTheme="minorHAnsi" w:cstheme="minorHAnsi"/>
          <w:color w:val="000000" w:themeColor="text1"/>
          <w:sz w:val="22"/>
          <w:szCs w:val="22"/>
        </w:rPr>
        <w:t>i</w:t>
      </w:r>
      <w:proofErr w:type="spellEnd"/>
      <w:r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ab/>
      </w:r>
      <w:r w:rsidRPr="007647B4">
        <w:rPr>
          <w:rFonts w:asciiTheme="minorHAnsi" w:hAnsiTheme="minorHAnsi" w:cstheme="minorHAnsi"/>
          <w:b/>
          <w:color w:val="000000" w:themeColor="text1"/>
          <w:sz w:val="22"/>
          <w:szCs w:val="22"/>
        </w:rPr>
        <w:t>Are you pregnant or breastfeeding?</w:t>
      </w:r>
      <w:r w:rsidRPr="007647B4">
        <w:rPr>
          <w:rFonts w:asciiTheme="minorHAnsi" w:hAnsiTheme="minorHAnsi" w:cstheme="minorHAnsi"/>
          <w:color w:val="000000" w:themeColor="text1"/>
          <w:sz w:val="22"/>
          <w:szCs w:val="22"/>
        </w:rPr>
        <w:t xml:space="preserve"> Marijuana use during pregnancy</w:t>
      </w:r>
      <w:r w:rsidR="00DB17BA"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can be harmful to your baby’s health, including causing low birth weight</w:t>
      </w:r>
      <w:r w:rsidR="00DB17BA"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and developmental problems according to the Centers for Disease Control and Prevention.</w:t>
      </w:r>
    </w:p>
    <w:p w14:paraId="5451A408" w14:textId="592A8F77" w:rsidR="00CB1EF0" w:rsidRPr="007647B4" w:rsidRDefault="00CB1EF0" w:rsidP="009367D6">
      <w:pPr>
        <w:jc w:val="both"/>
        <w:rPr>
          <w:rFonts w:asciiTheme="minorHAnsi" w:hAnsiTheme="minorHAnsi" w:cstheme="minorHAnsi"/>
          <w:color w:val="000000" w:themeColor="text1"/>
          <w:sz w:val="22"/>
          <w:szCs w:val="22"/>
        </w:rPr>
      </w:pPr>
    </w:p>
    <w:p w14:paraId="6ED47C5B" w14:textId="05155188" w:rsidR="00CB1EF0" w:rsidRPr="007647B4" w:rsidRDefault="00CB1EF0" w:rsidP="009367D6">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ab/>
        <w:t>ii)</w:t>
      </w:r>
      <w:r w:rsidRPr="007647B4">
        <w:rPr>
          <w:rFonts w:asciiTheme="minorHAnsi" w:hAnsiTheme="minorHAnsi" w:cstheme="minorHAnsi"/>
          <w:color w:val="000000" w:themeColor="text1"/>
          <w:sz w:val="22"/>
          <w:szCs w:val="22"/>
        </w:rPr>
        <w:tab/>
      </w:r>
      <w:r w:rsidRPr="007647B4">
        <w:rPr>
          <w:rFonts w:asciiTheme="minorHAnsi" w:hAnsiTheme="minorHAnsi" w:cstheme="minorHAnsi"/>
          <w:b/>
          <w:color w:val="000000" w:themeColor="text1"/>
          <w:sz w:val="22"/>
          <w:szCs w:val="22"/>
        </w:rPr>
        <w:t>Driving while high is a DUI.</w:t>
      </w:r>
      <w:r w:rsidRPr="007647B4">
        <w:rPr>
          <w:rFonts w:asciiTheme="minorHAnsi" w:hAnsiTheme="minorHAnsi" w:cstheme="minorHAnsi"/>
          <w:color w:val="000000" w:themeColor="text1"/>
          <w:sz w:val="22"/>
          <w:szCs w:val="22"/>
        </w:rPr>
        <w:t xml:space="preserve"> Marijuana use increases your risk of motor</w:t>
      </w:r>
      <w:r w:rsidR="00DB17BA"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vehicle crashes.</w:t>
      </w:r>
    </w:p>
    <w:p w14:paraId="54509FD8" w14:textId="34111695" w:rsidR="00CB1EF0" w:rsidRPr="007647B4" w:rsidRDefault="00CB1EF0" w:rsidP="009367D6">
      <w:pPr>
        <w:jc w:val="both"/>
        <w:rPr>
          <w:rFonts w:asciiTheme="minorHAnsi" w:hAnsiTheme="minorHAnsi" w:cstheme="minorHAnsi"/>
          <w:color w:val="000000" w:themeColor="text1"/>
          <w:sz w:val="22"/>
          <w:szCs w:val="22"/>
        </w:rPr>
      </w:pPr>
    </w:p>
    <w:p w14:paraId="48B4C9A5" w14:textId="4CC82729" w:rsidR="00CB1EF0" w:rsidRPr="007647B4" w:rsidRDefault="00CB1EF0" w:rsidP="007647B4">
      <w:pPr>
        <w:ind w:left="1440" w:hanging="720"/>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iii)</w:t>
      </w:r>
      <w:r w:rsidRPr="007647B4">
        <w:rPr>
          <w:rFonts w:asciiTheme="minorHAnsi" w:hAnsiTheme="minorHAnsi" w:cstheme="minorHAnsi"/>
          <w:color w:val="000000" w:themeColor="text1"/>
          <w:sz w:val="22"/>
          <w:szCs w:val="22"/>
        </w:rPr>
        <w:tab/>
      </w:r>
      <w:r w:rsidRPr="007647B4">
        <w:rPr>
          <w:rFonts w:asciiTheme="minorHAnsi" w:hAnsiTheme="minorHAnsi" w:cstheme="minorHAnsi"/>
          <w:b/>
          <w:color w:val="000000" w:themeColor="text1"/>
          <w:sz w:val="22"/>
          <w:szCs w:val="22"/>
        </w:rPr>
        <w:t>Not for Kids or Teens!</w:t>
      </w:r>
      <w:r w:rsidRPr="007647B4">
        <w:rPr>
          <w:rFonts w:asciiTheme="minorHAnsi" w:hAnsiTheme="minorHAnsi" w:cstheme="minorHAnsi"/>
          <w:color w:val="000000" w:themeColor="text1"/>
          <w:sz w:val="22"/>
          <w:szCs w:val="22"/>
        </w:rPr>
        <w:t xml:space="preserve"> Starting marijuana use young or using frequently </w:t>
      </w:r>
      <w:r w:rsidR="006416EF" w:rsidRPr="007647B4">
        <w:rPr>
          <w:rFonts w:asciiTheme="minorHAnsi" w:hAnsiTheme="minorHAnsi" w:cstheme="minorHAnsi"/>
          <w:color w:val="000000" w:themeColor="text1"/>
          <w:sz w:val="22"/>
          <w:szCs w:val="22"/>
        </w:rPr>
        <w:tab/>
      </w:r>
      <w:r w:rsidRPr="007647B4">
        <w:rPr>
          <w:rFonts w:asciiTheme="minorHAnsi" w:hAnsiTheme="minorHAnsi" w:cstheme="minorHAnsi"/>
          <w:color w:val="000000" w:themeColor="text1"/>
          <w:sz w:val="22"/>
          <w:szCs w:val="22"/>
        </w:rPr>
        <w:t>may lead to problem use and, according to the Centers for Disease Control and</w:t>
      </w:r>
      <w:r w:rsidR="006416EF"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Prevention, may harm the developing teen brain.</w:t>
      </w:r>
    </w:p>
    <w:p w14:paraId="49096DC5" w14:textId="77777777" w:rsidR="0055768C" w:rsidRPr="007647B4" w:rsidRDefault="0055768C" w:rsidP="009367D6">
      <w:pPr>
        <w:jc w:val="both"/>
        <w:rPr>
          <w:rFonts w:asciiTheme="minorHAnsi" w:hAnsiTheme="minorHAnsi" w:cstheme="minorHAnsi"/>
          <w:color w:val="000000" w:themeColor="text1"/>
          <w:sz w:val="22"/>
          <w:szCs w:val="22"/>
        </w:rPr>
      </w:pPr>
    </w:p>
    <w:p w14:paraId="1DE78C6E" w14:textId="5DE2C96A" w:rsidR="00CB1EF0" w:rsidRPr="007647B4" w:rsidRDefault="00CB1EF0" w:rsidP="007647B4">
      <w:pPr>
        <w:ind w:left="1440" w:hanging="720"/>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iv)</w:t>
      </w:r>
      <w:r w:rsidRPr="007647B4">
        <w:rPr>
          <w:rFonts w:asciiTheme="minorHAnsi" w:hAnsiTheme="minorHAnsi" w:cstheme="minorHAnsi"/>
          <w:color w:val="000000" w:themeColor="text1"/>
          <w:sz w:val="22"/>
          <w:szCs w:val="22"/>
        </w:rPr>
        <w:tab/>
        <w:t xml:space="preserve">Marijuana use may be associated with </w:t>
      </w:r>
      <w:r w:rsidRPr="007647B4">
        <w:rPr>
          <w:rFonts w:asciiTheme="minorHAnsi" w:hAnsiTheme="minorHAnsi" w:cstheme="minorHAnsi"/>
          <w:b/>
          <w:color w:val="000000" w:themeColor="text1"/>
          <w:sz w:val="22"/>
          <w:szCs w:val="22"/>
        </w:rPr>
        <w:t>greater risk of developing</w:t>
      </w:r>
      <w:r w:rsidR="00DB17BA" w:rsidRPr="007647B4">
        <w:rPr>
          <w:rFonts w:asciiTheme="minorHAnsi" w:hAnsiTheme="minorHAnsi" w:cstheme="minorHAnsi"/>
          <w:b/>
          <w:color w:val="000000" w:themeColor="text1"/>
          <w:sz w:val="22"/>
          <w:szCs w:val="22"/>
        </w:rPr>
        <w:t xml:space="preserve"> </w:t>
      </w:r>
      <w:r w:rsidRPr="007647B4">
        <w:rPr>
          <w:rFonts w:asciiTheme="minorHAnsi" w:hAnsiTheme="minorHAnsi" w:cstheme="minorHAnsi"/>
          <w:b/>
          <w:color w:val="000000" w:themeColor="text1"/>
          <w:sz w:val="22"/>
          <w:szCs w:val="22"/>
        </w:rPr>
        <w:t>schizophrenia</w:t>
      </w:r>
      <w:r w:rsidRPr="007647B4">
        <w:rPr>
          <w:rFonts w:asciiTheme="minorHAnsi" w:hAnsiTheme="minorHAnsi" w:cstheme="minorHAnsi"/>
          <w:color w:val="000000" w:themeColor="text1"/>
          <w:sz w:val="22"/>
          <w:szCs w:val="22"/>
        </w:rPr>
        <w:t xml:space="preserve"> or other psychoses. Risk is highest for frequent users.</w:t>
      </w:r>
    </w:p>
    <w:p w14:paraId="65B0F17C" w14:textId="77777777" w:rsidR="0055768C" w:rsidRPr="007647B4" w:rsidRDefault="0055768C" w:rsidP="009367D6">
      <w:pPr>
        <w:jc w:val="both"/>
        <w:rPr>
          <w:rFonts w:asciiTheme="minorHAnsi" w:hAnsiTheme="minorHAnsi" w:cstheme="minorHAnsi"/>
          <w:color w:val="000000" w:themeColor="text1"/>
          <w:sz w:val="22"/>
          <w:szCs w:val="22"/>
        </w:rPr>
      </w:pPr>
    </w:p>
    <w:p w14:paraId="589A8317" w14:textId="054AAD50" w:rsidR="00CB1EF0" w:rsidRPr="007647B4" w:rsidRDefault="00CB1EF0" w:rsidP="009367D6">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ab/>
        <w:t xml:space="preserve"> v) </w:t>
      </w:r>
      <w:r w:rsidRPr="007647B4">
        <w:rPr>
          <w:rFonts w:asciiTheme="minorHAnsi" w:hAnsiTheme="minorHAnsi" w:cstheme="minorHAnsi"/>
          <w:color w:val="000000" w:themeColor="text1"/>
          <w:sz w:val="22"/>
          <w:szCs w:val="22"/>
        </w:rPr>
        <w:tab/>
        <w:t xml:space="preserve">Smoking marijuana long term may </w:t>
      </w:r>
      <w:r w:rsidRPr="007647B4">
        <w:rPr>
          <w:rFonts w:asciiTheme="minorHAnsi" w:hAnsiTheme="minorHAnsi" w:cstheme="minorHAnsi"/>
          <w:b/>
          <w:color w:val="000000" w:themeColor="text1"/>
          <w:sz w:val="22"/>
          <w:szCs w:val="22"/>
        </w:rPr>
        <w:t>make breathing problems worse</w:t>
      </w:r>
      <w:r w:rsidRPr="007647B4">
        <w:rPr>
          <w:rFonts w:asciiTheme="minorHAnsi" w:hAnsiTheme="minorHAnsi" w:cstheme="minorHAnsi"/>
          <w:color w:val="000000" w:themeColor="text1"/>
          <w:sz w:val="22"/>
          <w:szCs w:val="22"/>
        </w:rPr>
        <w:t>.</w:t>
      </w:r>
    </w:p>
    <w:p w14:paraId="0D2E843D" w14:textId="5E621352" w:rsidR="00CB1EF0" w:rsidRPr="007647B4" w:rsidRDefault="00CB1EF0" w:rsidP="009367D6">
      <w:pPr>
        <w:jc w:val="both"/>
        <w:rPr>
          <w:rFonts w:asciiTheme="minorHAnsi" w:hAnsiTheme="minorHAnsi" w:cstheme="minorHAnsi"/>
          <w:color w:val="000000" w:themeColor="text1"/>
          <w:sz w:val="22"/>
          <w:szCs w:val="22"/>
        </w:rPr>
      </w:pPr>
    </w:p>
    <w:p w14:paraId="1C6D1F5E" w14:textId="77777777" w:rsidR="00CB1EF0" w:rsidRPr="007647B4" w:rsidRDefault="00CB1EF0" w:rsidP="009367D6">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Followed by: </w:t>
      </w:r>
      <w:r w:rsidRPr="007647B4">
        <w:rPr>
          <w:rFonts w:asciiTheme="minorHAnsi" w:hAnsiTheme="minorHAnsi" w:cstheme="minorHAnsi"/>
          <w:b/>
          <w:color w:val="000000" w:themeColor="text1"/>
          <w:sz w:val="22"/>
          <w:szCs w:val="22"/>
        </w:rPr>
        <w:t xml:space="preserve">“Warning from the State of California.” </w:t>
      </w:r>
    </w:p>
    <w:p w14:paraId="0E9C284D" w14:textId="424D8F79" w:rsidR="00CB1EF0" w:rsidRPr="007647B4" w:rsidRDefault="00CB1EF0" w:rsidP="009367D6">
      <w:pPr>
        <w:jc w:val="both"/>
        <w:rPr>
          <w:rFonts w:asciiTheme="minorHAnsi" w:hAnsiTheme="minorHAnsi" w:cstheme="minorHAnsi"/>
          <w:color w:val="000000" w:themeColor="text1"/>
          <w:sz w:val="22"/>
          <w:szCs w:val="22"/>
        </w:rPr>
      </w:pPr>
    </w:p>
    <w:p w14:paraId="4B5DBC9F" w14:textId="3603D60A" w:rsidR="00CB1EF0" w:rsidRPr="007647B4" w:rsidRDefault="00CB1EF0" w:rsidP="009367D6">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Advertisements and Marketing materials should be required to include messages “(i)” through “(v)” above in equal and rotating proportions and approximate audience exposure for any advertisement. </w:t>
      </w:r>
    </w:p>
    <w:p w14:paraId="0E9D4E35" w14:textId="77777777" w:rsidR="00CB1EF0" w:rsidRPr="007647B4" w:rsidRDefault="00CB1EF0" w:rsidP="009367D6">
      <w:pPr>
        <w:jc w:val="both"/>
        <w:rPr>
          <w:rFonts w:asciiTheme="minorHAnsi" w:hAnsiTheme="minorHAnsi" w:cstheme="minorHAnsi"/>
          <w:color w:val="000000" w:themeColor="text1"/>
          <w:sz w:val="22"/>
          <w:szCs w:val="22"/>
        </w:rPr>
      </w:pPr>
    </w:p>
    <w:p w14:paraId="537250AB" w14:textId="6055C7DD" w:rsidR="00CB1EF0" w:rsidRPr="007647B4" w:rsidRDefault="00CB1EF0" w:rsidP="009367D6">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These warning should be enclosed in a box occupying at least 20% of the surface of any advertisement or 20% of the spoken word </w:t>
      </w:r>
      <w:r w:rsidR="001E1684" w:rsidRPr="007647B4">
        <w:rPr>
          <w:rFonts w:asciiTheme="minorHAnsi" w:hAnsiTheme="minorHAnsi" w:cstheme="minorHAnsi"/>
          <w:color w:val="000000" w:themeColor="text1"/>
          <w:sz w:val="22"/>
          <w:szCs w:val="22"/>
        </w:rPr>
        <w:t>time and</w:t>
      </w:r>
      <w:r w:rsidRPr="007647B4">
        <w:rPr>
          <w:rFonts w:asciiTheme="minorHAnsi" w:hAnsiTheme="minorHAnsi" w:cstheme="minorHAnsi"/>
          <w:color w:val="000000" w:themeColor="text1"/>
          <w:sz w:val="22"/>
          <w:szCs w:val="22"/>
        </w:rPr>
        <w:t xml:space="preserve"> be present on each page. </w:t>
      </w:r>
    </w:p>
    <w:p w14:paraId="4E3B7F13" w14:textId="5B86CED9" w:rsidR="00CB1EF0" w:rsidRPr="007647B4" w:rsidRDefault="00CB1EF0" w:rsidP="009367D6">
      <w:pPr>
        <w:jc w:val="both"/>
        <w:rPr>
          <w:rFonts w:asciiTheme="minorHAnsi" w:hAnsiTheme="minorHAnsi" w:cstheme="minorHAnsi"/>
          <w:color w:val="000000" w:themeColor="text1"/>
          <w:sz w:val="22"/>
          <w:szCs w:val="22"/>
        </w:rPr>
      </w:pPr>
    </w:p>
    <w:p w14:paraId="4B533311" w14:textId="259F8DE3" w:rsidR="00CB1EF0" w:rsidRPr="007647B4" w:rsidRDefault="00CB1EF0" w:rsidP="009367D6">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The warning box should be required to use black type on a yellow background, and the text to be printed in a size and manner so as to be clearly legible to the intended viewers of the advertisements and marketing materials. The text of the </w:t>
      </w:r>
      <w:r w:rsidR="00DB17BA" w:rsidRPr="007647B4">
        <w:rPr>
          <w:rFonts w:asciiTheme="minorHAnsi" w:hAnsiTheme="minorHAnsi" w:cstheme="minorHAnsi"/>
          <w:color w:val="000000" w:themeColor="text1"/>
          <w:sz w:val="22"/>
          <w:szCs w:val="22"/>
        </w:rPr>
        <w:t>w</w:t>
      </w:r>
      <w:r w:rsidRPr="007647B4">
        <w:rPr>
          <w:rFonts w:asciiTheme="minorHAnsi" w:hAnsiTheme="minorHAnsi" w:cstheme="minorHAnsi"/>
          <w:color w:val="000000" w:themeColor="text1"/>
          <w:sz w:val="22"/>
          <w:szCs w:val="22"/>
        </w:rPr>
        <w:t xml:space="preserve">arning should be required to be positioned in the upper </w:t>
      </w:r>
      <w:r w:rsidR="001E1684" w:rsidRPr="007647B4">
        <w:rPr>
          <w:rFonts w:asciiTheme="minorHAnsi" w:hAnsiTheme="minorHAnsi" w:cstheme="minorHAnsi"/>
          <w:color w:val="000000" w:themeColor="text1"/>
          <w:sz w:val="22"/>
          <w:szCs w:val="22"/>
        </w:rPr>
        <w:t>right-hand</w:t>
      </w:r>
      <w:r w:rsidRPr="007647B4">
        <w:rPr>
          <w:rFonts w:asciiTheme="minorHAnsi" w:hAnsiTheme="minorHAnsi" w:cstheme="minorHAnsi"/>
          <w:color w:val="000000" w:themeColor="text1"/>
          <w:sz w:val="22"/>
          <w:szCs w:val="22"/>
        </w:rPr>
        <w:t xml:space="preserve"> corner such that the </w:t>
      </w:r>
      <w:r w:rsidR="00DB17BA" w:rsidRPr="007647B4">
        <w:rPr>
          <w:rFonts w:asciiTheme="minorHAnsi" w:hAnsiTheme="minorHAnsi" w:cstheme="minorHAnsi"/>
          <w:color w:val="000000" w:themeColor="text1"/>
          <w:sz w:val="22"/>
          <w:szCs w:val="22"/>
        </w:rPr>
        <w:t>w</w:t>
      </w:r>
      <w:r w:rsidRPr="007647B4">
        <w:rPr>
          <w:rFonts w:asciiTheme="minorHAnsi" w:hAnsiTheme="minorHAnsi" w:cstheme="minorHAnsi"/>
          <w:color w:val="000000" w:themeColor="text1"/>
          <w:sz w:val="22"/>
          <w:szCs w:val="22"/>
        </w:rPr>
        <w:t xml:space="preserve">arning and other information on the </w:t>
      </w:r>
      <w:r w:rsidR="00DB17BA" w:rsidRPr="007647B4">
        <w:rPr>
          <w:rFonts w:asciiTheme="minorHAnsi" w:hAnsiTheme="minorHAnsi" w:cstheme="minorHAnsi"/>
          <w:color w:val="000000" w:themeColor="text1"/>
          <w:sz w:val="22"/>
          <w:szCs w:val="22"/>
        </w:rPr>
        <w:t>a</w:t>
      </w:r>
      <w:r w:rsidRPr="007647B4">
        <w:rPr>
          <w:rFonts w:asciiTheme="minorHAnsi" w:hAnsiTheme="minorHAnsi" w:cstheme="minorHAnsi"/>
          <w:color w:val="000000" w:themeColor="text1"/>
          <w:sz w:val="22"/>
          <w:szCs w:val="22"/>
        </w:rPr>
        <w:t xml:space="preserve">dvertisement or </w:t>
      </w:r>
      <w:r w:rsidR="00DB17BA" w:rsidRPr="007647B4">
        <w:rPr>
          <w:rFonts w:asciiTheme="minorHAnsi" w:hAnsiTheme="minorHAnsi" w:cstheme="minorHAnsi"/>
          <w:color w:val="000000" w:themeColor="text1"/>
          <w:sz w:val="22"/>
          <w:szCs w:val="22"/>
        </w:rPr>
        <w:t>m</w:t>
      </w:r>
      <w:r w:rsidRPr="007647B4">
        <w:rPr>
          <w:rFonts w:asciiTheme="minorHAnsi" w:hAnsiTheme="minorHAnsi" w:cstheme="minorHAnsi"/>
          <w:color w:val="000000" w:themeColor="text1"/>
          <w:sz w:val="22"/>
          <w:szCs w:val="22"/>
        </w:rPr>
        <w:t xml:space="preserve">arketing materials have the same orientation (for example, left to right, or bottom to top). The </w:t>
      </w:r>
      <w:r w:rsidR="00DB17BA" w:rsidRPr="007647B4">
        <w:rPr>
          <w:rFonts w:asciiTheme="minorHAnsi" w:hAnsiTheme="minorHAnsi" w:cstheme="minorHAnsi"/>
          <w:color w:val="000000" w:themeColor="text1"/>
          <w:sz w:val="22"/>
          <w:szCs w:val="22"/>
        </w:rPr>
        <w:t>w</w:t>
      </w:r>
      <w:r w:rsidRPr="007647B4">
        <w:rPr>
          <w:rFonts w:asciiTheme="minorHAnsi" w:hAnsiTheme="minorHAnsi" w:cstheme="minorHAnsi"/>
          <w:color w:val="000000" w:themeColor="text1"/>
          <w:sz w:val="22"/>
          <w:szCs w:val="22"/>
        </w:rPr>
        <w:t xml:space="preserve">arning should be indelibly printed on or permanently affixed to each print </w:t>
      </w:r>
      <w:r w:rsidR="00DB17BA" w:rsidRPr="007647B4">
        <w:rPr>
          <w:rFonts w:asciiTheme="minorHAnsi" w:hAnsiTheme="minorHAnsi" w:cstheme="minorHAnsi"/>
          <w:color w:val="000000" w:themeColor="text1"/>
          <w:sz w:val="22"/>
          <w:szCs w:val="22"/>
        </w:rPr>
        <w:t>a</w:t>
      </w:r>
      <w:r w:rsidRPr="007647B4">
        <w:rPr>
          <w:rFonts w:asciiTheme="minorHAnsi" w:hAnsiTheme="minorHAnsi" w:cstheme="minorHAnsi"/>
          <w:color w:val="000000" w:themeColor="text1"/>
          <w:sz w:val="22"/>
          <w:szCs w:val="22"/>
        </w:rPr>
        <w:t xml:space="preserve">dvertisement or </w:t>
      </w:r>
      <w:r w:rsidR="00DB17BA" w:rsidRPr="007647B4">
        <w:rPr>
          <w:rFonts w:asciiTheme="minorHAnsi" w:hAnsiTheme="minorHAnsi" w:cstheme="minorHAnsi"/>
          <w:color w:val="000000" w:themeColor="text1"/>
          <w:sz w:val="22"/>
          <w:szCs w:val="22"/>
        </w:rPr>
        <w:t>m</w:t>
      </w:r>
      <w:r w:rsidRPr="007647B4">
        <w:rPr>
          <w:rFonts w:asciiTheme="minorHAnsi" w:hAnsiTheme="minorHAnsi" w:cstheme="minorHAnsi"/>
          <w:color w:val="000000" w:themeColor="text1"/>
          <w:sz w:val="22"/>
          <w:szCs w:val="22"/>
        </w:rPr>
        <w:t>arketing material.</w:t>
      </w:r>
    </w:p>
    <w:p w14:paraId="5DBA3797" w14:textId="51DAEB84" w:rsidR="00CB1EF0" w:rsidRPr="007647B4" w:rsidRDefault="00CB1EF0" w:rsidP="009367D6">
      <w:pPr>
        <w:jc w:val="both"/>
        <w:rPr>
          <w:rFonts w:asciiTheme="minorHAnsi" w:hAnsiTheme="minorHAnsi" w:cstheme="minorHAnsi"/>
          <w:color w:val="000000" w:themeColor="text1"/>
          <w:sz w:val="22"/>
          <w:szCs w:val="22"/>
        </w:rPr>
      </w:pPr>
    </w:p>
    <w:p w14:paraId="6FE29025" w14:textId="659E8318" w:rsidR="00A549C2" w:rsidRPr="007647B4" w:rsidRDefault="00932F13" w:rsidP="009367D6">
      <w:pPr>
        <w:ind w:firstLine="720"/>
        <w:jc w:val="both"/>
        <w:rPr>
          <w:rFonts w:asciiTheme="minorHAnsi" w:hAnsiTheme="minorHAnsi" w:cstheme="minorHAnsi"/>
          <w:b/>
          <w:color w:val="000000" w:themeColor="text1"/>
          <w:sz w:val="22"/>
          <w:szCs w:val="22"/>
        </w:rPr>
      </w:pPr>
      <w:r w:rsidRPr="007647B4">
        <w:rPr>
          <w:rFonts w:asciiTheme="minorHAnsi" w:hAnsiTheme="minorHAnsi" w:cstheme="minorHAnsi"/>
          <w:b/>
          <w:color w:val="000000" w:themeColor="text1"/>
          <w:sz w:val="22"/>
          <w:szCs w:val="22"/>
        </w:rPr>
        <w:t>1</w:t>
      </w:r>
      <w:r w:rsidR="002F3B3D" w:rsidRPr="007647B4">
        <w:rPr>
          <w:rFonts w:asciiTheme="minorHAnsi" w:hAnsiTheme="minorHAnsi" w:cstheme="minorHAnsi"/>
          <w:b/>
          <w:color w:val="000000" w:themeColor="text1"/>
          <w:sz w:val="22"/>
          <w:szCs w:val="22"/>
        </w:rPr>
        <w:t>0.</w:t>
      </w:r>
      <w:r w:rsidRPr="007647B4">
        <w:rPr>
          <w:rFonts w:asciiTheme="minorHAnsi" w:hAnsiTheme="minorHAnsi" w:cstheme="minorHAnsi"/>
          <w:b/>
          <w:color w:val="000000" w:themeColor="text1"/>
          <w:sz w:val="22"/>
          <w:szCs w:val="22"/>
        </w:rPr>
        <w:t>c</w:t>
      </w:r>
      <w:r w:rsidR="002F3B3D" w:rsidRPr="007647B4">
        <w:rPr>
          <w:rFonts w:asciiTheme="minorHAnsi" w:hAnsiTheme="minorHAnsi" w:cstheme="minorHAnsi"/>
          <w:b/>
          <w:color w:val="000000" w:themeColor="text1"/>
          <w:sz w:val="22"/>
          <w:szCs w:val="22"/>
        </w:rPr>
        <w:t>.</w:t>
      </w:r>
      <w:r w:rsidRPr="007647B4">
        <w:rPr>
          <w:rFonts w:asciiTheme="minorHAnsi" w:hAnsiTheme="minorHAnsi" w:cstheme="minorHAnsi"/>
          <w:b/>
          <w:color w:val="000000" w:themeColor="text1"/>
          <w:sz w:val="22"/>
          <w:szCs w:val="22"/>
        </w:rPr>
        <w:t xml:space="preserve">) </w:t>
      </w:r>
      <w:r w:rsidR="00A549C2" w:rsidRPr="007647B4">
        <w:rPr>
          <w:rFonts w:asciiTheme="minorHAnsi" w:hAnsiTheme="minorHAnsi" w:cstheme="minorHAnsi"/>
          <w:b/>
          <w:color w:val="000000" w:themeColor="text1"/>
          <w:sz w:val="22"/>
          <w:szCs w:val="22"/>
        </w:rPr>
        <w:t xml:space="preserve">Limitations on </w:t>
      </w:r>
      <w:r w:rsidR="00DB17BA" w:rsidRPr="007647B4">
        <w:rPr>
          <w:rFonts w:asciiTheme="minorHAnsi" w:hAnsiTheme="minorHAnsi" w:cstheme="minorHAnsi"/>
          <w:b/>
          <w:color w:val="000000" w:themeColor="text1"/>
          <w:sz w:val="22"/>
          <w:szCs w:val="22"/>
        </w:rPr>
        <w:t>D</w:t>
      </w:r>
      <w:r w:rsidR="00A549C2" w:rsidRPr="007647B4">
        <w:rPr>
          <w:rFonts w:asciiTheme="minorHAnsi" w:hAnsiTheme="minorHAnsi" w:cstheme="minorHAnsi"/>
          <w:b/>
          <w:color w:val="000000" w:themeColor="text1"/>
          <w:sz w:val="22"/>
          <w:szCs w:val="22"/>
        </w:rPr>
        <w:t xml:space="preserve">isplays in </w:t>
      </w:r>
      <w:r w:rsidR="00CB1EF0" w:rsidRPr="007647B4">
        <w:rPr>
          <w:rFonts w:asciiTheme="minorHAnsi" w:hAnsiTheme="minorHAnsi" w:cstheme="minorHAnsi"/>
          <w:b/>
          <w:color w:val="000000" w:themeColor="text1"/>
          <w:sz w:val="22"/>
          <w:szCs w:val="22"/>
        </w:rPr>
        <w:t xml:space="preserve">Advertising and Marketing </w:t>
      </w:r>
      <w:r w:rsidR="00DB17BA" w:rsidRPr="007647B4">
        <w:rPr>
          <w:rFonts w:asciiTheme="minorHAnsi" w:hAnsiTheme="minorHAnsi" w:cstheme="minorHAnsi"/>
          <w:b/>
          <w:color w:val="000000" w:themeColor="text1"/>
          <w:sz w:val="22"/>
          <w:szCs w:val="22"/>
        </w:rPr>
        <w:t>M</w:t>
      </w:r>
      <w:r w:rsidR="00CB1EF0" w:rsidRPr="007647B4">
        <w:rPr>
          <w:rFonts w:asciiTheme="minorHAnsi" w:hAnsiTheme="minorHAnsi" w:cstheme="minorHAnsi"/>
          <w:b/>
          <w:color w:val="000000" w:themeColor="text1"/>
          <w:sz w:val="22"/>
          <w:szCs w:val="22"/>
        </w:rPr>
        <w:t>aterials</w:t>
      </w:r>
    </w:p>
    <w:p w14:paraId="016EF739" w14:textId="77777777" w:rsidR="00A549C2" w:rsidRPr="007647B4" w:rsidRDefault="00A549C2" w:rsidP="009367D6">
      <w:pPr>
        <w:ind w:left="360"/>
        <w:jc w:val="both"/>
        <w:rPr>
          <w:rFonts w:asciiTheme="minorHAnsi" w:hAnsiTheme="minorHAnsi" w:cstheme="minorHAnsi"/>
          <w:color w:val="000000" w:themeColor="text1"/>
          <w:sz w:val="22"/>
          <w:szCs w:val="22"/>
        </w:rPr>
      </w:pPr>
    </w:p>
    <w:p w14:paraId="68D05845" w14:textId="1D6CDC74" w:rsidR="00CB1EF0" w:rsidRPr="007647B4" w:rsidRDefault="00A549C2" w:rsidP="009367D6">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Advertising and Marketing materials </w:t>
      </w:r>
      <w:r w:rsidR="00CB1EF0" w:rsidRPr="007647B4">
        <w:rPr>
          <w:rFonts w:asciiTheme="minorHAnsi" w:hAnsiTheme="minorHAnsi" w:cstheme="minorHAnsi"/>
          <w:color w:val="000000" w:themeColor="text1"/>
          <w:sz w:val="22"/>
          <w:szCs w:val="22"/>
        </w:rPr>
        <w:t>should not be permitted to:</w:t>
      </w:r>
    </w:p>
    <w:p w14:paraId="73122CD3" w14:textId="6ECDB16E" w:rsidR="00CB1EF0" w:rsidRPr="007647B4" w:rsidRDefault="00CB1EF0" w:rsidP="009367D6">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(1) Display consumption of </w:t>
      </w:r>
      <w:r w:rsidR="00DB17BA" w:rsidRPr="007647B4">
        <w:rPr>
          <w:rFonts w:asciiTheme="minorHAnsi" w:hAnsiTheme="minorHAnsi" w:cstheme="minorHAnsi"/>
          <w:color w:val="000000" w:themeColor="text1"/>
          <w:sz w:val="22"/>
          <w:szCs w:val="22"/>
        </w:rPr>
        <w:t>c</w:t>
      </w:r>
      <w:r w:rsidRPr="007647B4">
        <w:rPr>
          <w:rFonts w:asciiTheme="minorHAnsi" w:hAnsiTheme="minorHAnsi" w:cstheme="minorHAnsi"/>
          <w:color w:val="000000" w:themeColor="text1"/>
          <w:sz w:val="22"/>
          <w:szCs w:val="22"/>
        </w:rPr>
        <w:t xml:space="preserve">annabis or </w:t>
      </w:r>
      <w:r w:rsidR="00DB17BA" w:rsidRPr="007647B4">
        <w:rPr>
          <w:rFonts w:asciiTheme="minorHAnsi" w:hAnsiTheme="minorHAnsi" w:cstheme="minorHAnsi"/>
          <w:color w:val="000000" w:themeColor="text1"/>
          <w:sz w:val="22"/>
          <w:szCs w:val="22"/>
        </w:rPr>
        <w:t>c</w:t>
      </w:r>
      <w:r w:rsidRPr="007647B4">
        <w:rPr>
          <w:rFonts w:asciiTheme="minorHAnsi" w:hAnsiTheme="minorHAnsi" w:cstheme="minorHAnsi"/>
          <w:color w:val="000000" w:themeColor="text1"/>
          <w:sz w:val="22"/>
          <w:szCs w:val="22"/>
        </w:rPr>
        <w:t xml:space="preserve">annabis </w:t>
      </w:r>
      <w:r w:rsidR="00DB17BA" w:rsidRPr="007647B4">
        <w:rPr>
          <w:rFonts w:asciiTheme="minorHAnsi" w:hAnsiTheme="minorHAnsi" w:cstheme="minorHAnsi"/>
          <w:color w:val="000000" w:themeColor="text1"/>
          <w:sz w:val="22"/>
          <w:szCs w:val="22"/>
        </w:rPr>
        <w:t>p</w:t>
      </w:r>
      <w:r w:rsidRPr="007647B4">
        <w:rPr>
          <w:rFonts w:asciiTheme="minorHAnsi" w:hAnsiTheme="minorHAnsi" w:cstheme="minorHAnsi"/>
          <w:color w:val="000000" w:themeColor="text1"/>
          <w:sz w:val="22"/>
          <w:szCs w:val="22"/>
        </w:rPr>
        <w:t xml:space="preserve">roducts; </w:t>
      </w:r>
    </w:p>
    <w:p w14:paraId="1688DFDF" w14:textId="641CCA5C" w:rsidR="00A549C2" w:rsidRPr="007647B4" w:rsidRDefault="00CB1EF0" w:rsidP="009367D6">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(2) Contain material that encourages the use of </w:t>
      </w:r>
      <w:r w:rsidR="00DB17BA" w:rsidRPr="007647B4">
        <w:rPr>
          <w:rFonts w:asciiTheme="minorHAnsi" w:hAnsiTheme="minorHAnsi" w:cstheme="minorHAnsi"/>
          <w:color w:val="000000" w:themeColor="text1"/>
          <w:sz w:val="22"/>
          <w:szCs w:val="22"/>
        </w:rPr>
        <w:t>c</w:t>
      </w:r>
      <w:r w:rsidRPr="007647B4">
        <w:rPr>
          <w:rFonts w:asciiTheme="minorHAnsi" w:hAnsiTheme="minorHAnsi" w:cstheme="minorHAnsi"/>
          <w:color w:val="000000" w:themeColor="text1"/>
          <w:sz w:val="22"/>
          <w:szCs w:val="22"/>
        </w:rPr>
        <w:t>annabis because of its intoxicating effect</w:t>
      </w:r>
      <w:r w:rsidR="00DB17BA" w:rsidRPr="007647B4">
        <w:rPr>
          <w:rFonts w:asciiTheme="minorHAnsi" w:hAnsiTheme="minorHAnsi" w:cstheme="minorHAnsi"/>
          <w:color w:val="000000" w:themeColor="text1"/>
          <w:sz w:val="22"/>
          <w:szCs w:val="22"/>
        </w:rPr>
        <w:t>;</w:t>
      </w:r>
    </w:p>
    <w:p w14:paraId="6A491E5E" w14:textId="3F8C1FF0" w:rsidR="00CB1EF0" w:rsidRPr="007647B4" w:rsidRDefault="00A549C2" w:rsidP="009367D6">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(3) Display </w:t>
      </w:r>
      <w:r w:rsidR="00CB1EF0" w:rsidRPr="007647B4">
        <w:rPr>
          <w:rFonts w:asciiTheme="minorHAnsi" w:hAnsiTheme="minorHAnsi" w:cstheme="minorHAnsi"/>
          <w:color w:val="000000" w:themeColor="text1"/>
          <w:sz w:val="22"/>
          <w:szCs w:val="22"/>
        </w:rPr>
        <w:t>conditions</w:t>
      </w:r>
      <w:r w:rsidR="00DA6B6F"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 xml:space="preserve">or activities </w:t>
      </w:r>
      <w:r w:rsidR="00CB1EF0" w:rsidRPr="007647B4">
        <w:rPr>
          <w:rFonts w:asciiTheme="minorHAnsi" w:hAnsiTheme="minorHAnsi" w:cstheme="minorHAnsi"/>
          <w:color w:val="000000" w:themeColor="text1"/>
          <w:sz w:val="22"/>
          <w:szCs w:val="22"/>
        </w:rPr>
        <w:t xml:space="preserve">that could be considered risky when under the influence of </w:t>
      </w:r>
      <w:r w:rsidR="00DB17BA" w:rsidRPr="007647B4">
        <w:rPr>
          <w:rFonts w:asciiTheme="minorHAnsi" w:hAnsiTheme="minorHAnsi" w:cstheme="minorHAnsi"/>
          <w:color w:val="000000" w:themeColor="text1"/>
          <w:sz w:val="22"/>
          <w:szCs w:val="22"/>
        </w:rPr>
        <w:t>c</w:t>
      </w:r>
      <w:r w:rsidR="00CB1EF0" w:rsidRPr="007647B4">
        <w:rPr>
          <w:rFonts w:asciiTheme="minorHAnsi" w:hAnsiTheme="minorHAnsi" w:cstheme="minorHAnsi"/>
          <w:color w:val="000000" w:themeColor="text1"/>
          <w:sz w:val="22"/>
          <w:szCs w:val="22"/>
        </w:rPr>
        <w:t xml:space="preserve">annabis, such as operating a motorized vehicle or boat, being pregnant, or breastfeeding. </w:t>
      </w:r>
    </w:p>
    <w:p w14:paraId="47A1B2F0" w14:textId="77777777" w:rsidR="00CB1EF0" w:rsidRPr="007647B4" w:rsidRDefault="00CB1EF0" w:rsidP="009367D6">
      <w:pPr>
        <w:jc w:val="both"/>
        <w:rPr>
          <w:rFonts w:asciiTheme="minorHAnsi" w:hAnsiTheme="minorHAnsi" w:cstheme="minorHAnsi"/>
          <w:color w:val="000000" w:themeColor="text1"/>
          <w:sz w:val="22"/>
          <w:szCs w:val="22"/>
        </w:rPr>
      </w:pPr>
    </w:p>
    <w:p w14:paraId="1C59E242" w14:textId="70BC82FA" w:rsidR="00A549C2" w:rsidRPr="007647B4" w:rsidRDefault="00932F13" w:rsidP="009367D6">
      <w:pPr>
        <w:pStyle w:val="ListParagraph"/>
        <w:jc w:val="both"/>
        <w:rPr>
          <w:rFonts w:asciiTheme="minorHAnsi" w:hAnsiTheme="minorHAnsi" w:cstheme="minorHAnsi"/>
          <w:b/>
          <w:color w:val="000000" w:themeColor="text1"/>
          <w:sz w:val="22"/>
          <w:szCs w:val="22"/>
        </w:rPr>
      </w:pPr>
      <w:r w:rsidRPr="00D32EBA">
        <w:rPr>
          <w:rFonts w:asciiTheme="minorHAnsi" w:hAnsiTheme="minorHAnsi" w:cstheme="minorHAnsi"/>
          <w:b/>
          <w:color w:val="000000" w:themeColor="text1"/>
          <w:sz w:val="22"/>
          <w:szCs w:val="22"/>
        </w:rPr>
        <w:t>1</w:t>
      </w:r>
      <w:r w:rsidR="002F3B3D" w:rsidRPr="00D32EBA">
        <w:rPr>
          <w:rFonts w:asciiTheme="minorHAnsi" w:hAnsiTheme="minorHAnsi" w:cstheme="minorHAnsi"/>
          <w:b/>
          <w:color w:val="000000" w:themeColor="text1"/>
          <w:sz w:val="22"/>
          <w:szCs w:val="22"/>
        </w:rPr>
        <w:t>0.</w:t>
      </w:r>
      <w:r w:rsidRPr="00EE331A">
        <w:rPr>
          <w:rFonts w:asciiTheme="minorHAnsi" w:hAnsiTheme="minorHAnsi" w:cstheme="minorHAnsi"/>
          <w:b/>
          <w:color w:val="000000" w:themeColor="text1"/>
          <w:sz w:val="22"/>
          <w:szCs w:val="22"/>
        </w:rPr>
        <w:t>d</w:t>
      </w:r>
      <w:r w:rsidR="002F3B3D" w:rsidRPr="00EE331A">
        <w:rPr>
          <w:rFonts w:asciiTheme="minorHAnsi" w:hAnsiTheme="minorHAnsi" w:cstheme="minorHAnsi"/>
          <w:b/>
          <w:color w:val="000000" w:themeColor="text1"/>
          <w:sz w:val="22"/>
          <w:szCs w:val="22"/>
        </w:rPr>
        <w:t>.</w:t>
      </w:r>
      <w:r w:rsidRPr="00A47FC2">
        <w:rPr>
          <w:rFonts w:asciiTheme="minorHAnsi" w:hAnsiTheme="minorHAnsi" w:cstheme="minorHAnsi"/>
          <w:b/>
          <w:color w:val="000000" w:themeColor="text1"/>
          <w:sz w:val="22"/>
          <w:szCs w:val="22"/>
        </w:rPr>
        <w:t xml:space="preserve">) </w:t>
      </w:r>
      <w:r w:rsidR="00A549C2" w:rsidRPr="00A47FC2">
        <w:rPr>
          <w:rFonts w:asciiTheme="minorHAnsi" w:hAnsiTheme="minorHAnsi" w:cstheme="minorHAnsi"/>
          <w:b/>
          <w:color w:val="000000" w:themeColor="text1"/>
          <w:sz w:val="22"/>
          <w:szCs w:val="22"/>
        </w:rPr>
        <w:t xml:space="preserve">No </w:t>
      </w:r>
      <w:r w:rsidR="00DB17BA" w:rsidRPr="007647B4">
        <w:rPr>
          <w:rFonts w:asciiTheme="minorHAnsi" w:hAnsiTheme="minorHAnsi" w:cstheme="minorHAnsi"/>
          <w:b/>
          <w:color w:val="000000" w:themeColor="text1"/>
          <w:sz w:val="22"/>
          <w:szCs w:val="22"/>
        </w:rPr>
        <w:t>B</w:t>
      </w:r>
      <w:r w:rsidR="00A549C2" w:rsidRPr="007647B4">
        <w:rPr>
          <w:rFonts w:asciiTheme="minorHAnsi" w:hAnsiTheme="minorHAnsi" w:cstheme="minorHAnsi"/>
          <w:b/>
          <w:color w:val="000000" w:themeColor="text1"/>
          <w:sz w:val="22"/>
          <w:szCs w:val="22"/>
        </w:rPr>
        <w:t xml:space="preserve">randed </w:t>
      </w:r>
      <w:r w:rsidR="00DB17BA" w:rsidRPr="007647B4">
        <w:rPr>
          <w:rFonts w:asciiTheme="minorHAnsi" w:hAnsiTheme="minorHAnsi" w:cstheme="minorHAnsi"/>
          <w:b/>
          <w:color w:val="000000" w:themeColor="text1"/>
          <w:sz w:val="22"/>
          <w:szCs w:val="22"/>
        </w:rPr>
        <w:t>M</w:t>
      </w:r>
      <w:r w:rsidR="00A549C2" w:rsidRPr="007647B4">
        <w:rPr>
          <w:rFonts w:asciiTheme="minorHAnsi" w:hAnsiTheme="minorHAnsi" w:cstheme="minorHAnsi"/>
          <w:b/>
          <w:color w:val="000000" w:themeColor="text1"/>
          <w:sz w:val="22"/>
          <w:szCs w:val="22"/>
        </w:rPr>
        <w:t xml:space="preserve">erchandise </w:t>
      </w:r>
      <w:r w:rsidR="00DB17BA" w:rsidRPr="007647B4">
        <w:rPr>
          <w:rFonts w:asciiTheme="minorHAnsi" w:hAnsiTheme="minorHAnsi" w:cstheme="minorHAnsi"/>
          <w:b/>
          <w:color w:val="000000" w:themeColor="text1"/>
          <w:sz w:val="22"/>
          <w:szCs w:val="22"/>
        </w:rPr>
        <w:t>A</w:t>
      </w:r>
      <w:r w:rsidR="00A549C2" w:rsidRPr="007647B4">
        <w:rPr>
          <w:rFonts w:asciiTheme="minorHAnsi" w:hAnsiTheme="minorHAnsi" w:cstheme="minorHAnsi"/>
          <w:b/>
          <w:color w:val="000000" w:themeColor="text1"/>
          <w:sz w:val="22"/>
          <w:szCs w:val="22"/>
        </w:rPr>
        <w:t xml:space="preserve">ttractive to </w:t>
      </w:r>
      <w:r w:rsidR="00DB17BA" w:rsidRPr="007647B4">
        <w:rPr>
          <w:rFonts w:asciiTheme="minorHAnsi" w:hAnsiTheme="minorHAnsi" w:cstheme="minorHAnsi"/>
          <w:b/>
          <w:color w:val="000000" w:themeColor="text1"/>
          <w:sz w:val="22"/>
          <w:szCs w:val="22"/>
        </w:rPr>
        <w:t>C</w:t>
      </w:r>
      <w:r w:rsidR="00A549C2" w:rsidRPr="007647B4">
        <w:rPr>
          <w:rFonts w:asciiTheme="minorHAnsi" w:hAnsiTheme="minorHAnsi" w:cstheme="minorHAnsi"/>
          <w:b/>
          <w:color w:val="000000" w:themeColor="text1"/>
          <w:sz w:val="22"/>
          <w:szCs w:val="22"/>
        </w:rPr>
        <w:t xml:space="preserve">hildren or </w:t>
      </w:r>
      <w:r w:rsidR="00DB17BA" w:rsidRPr="007647B4">
        <w:rPr>
          <w:rFonts w:asciiTheme="minorHAnsi" w:hAnsiTheme="minorHAnsi" w:cstheme="minorHAnsi"/>
          <w:b/>
          <w:color w:val="000000" w:themeColor="text1"/>
          <w:sz w:val="22"/>
          <w:szCs w:val="22"/>
        </w:rPr>
        <w:t>Y</w:t>
      </w:r>
      <w:r w:rsidR="00A549C2" w:rsidRPr="007647B4">
        <w:rPr>
          <w:rFonts w:asciiTheme="minorHAnsi" w:hAnsiTheme="minorHAnsi" w:cstheme="minorHAnsi"/>
          <w:b/>
          <w:color w:val="000000" w:themeColor="text1"/>
          <w:sz w:val="22"/>
          <w:szCs w:val="22"/>
        </w:rPr>
        <w:t>outh</w:t>
      </w:r>
    </w:p>
    <w:p w14:paraId="0CB5D7F3" w14:textId="77777777" w:rsidR="00A549C2" w:rsidRPr="007647B4" w:rsidRDefault="00A549C2" w:rsidP="009367D6">
      <w:pPr>
        <w:ind w:left="360"/>
        <w:jc w:val="both"/>
        <w:rPr>
          <w:rFonts w:asciiTheme="minorHAnsi" w:hAnsiTheme="minorHAnsi" w:cstheme="minorHAnsi"/>
          <w:color w:val="000000" w:themeColor="text1"/>
          <w:sz w:val="22"/>
          <w:szCs w:val="22"/>
        </w:rPr>
      </w:pPr>
    </w:p>
    <w:p w14:paraId="43FD002F" w14:textId="1795E952" w:rsidR="00845695" w:rsidRPr="007647B4" w:rsidRDefault="00CB1EF0" w:rsidP="009367D6">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We recommend that no </w:t>
      </w:r>
      <w:r w:rsidR="00DB17BA" w:rsidRPr="007647B4">
        <w:rPr>
          <w:rFonts w:asciiTheme="minorHAnsi" w:hAnsiTheme="minorHAnsi" w:cstheme="minorHAnsi"/>
          <w:color w:val="000000" w:themeColor="text1"/>
          <w:sz w:val="22"/>
          <w:szCs w:val="22"/>
        </w:rPr>
        <w:t>c</w:t>
      </w:r>
      <w:r w:rsidRPr="007647B4">
        <w:rPr>
          <w:rFonts w:asciiTheme="minorHAnsi" w:hAnsiTheme="minorHAnsi" w:cstheme="minorHAnsi"/>
          <w:color w:val="000000" w:themeColor="text1"/>
          <w:sz w:val="22"/>
          <w:szCs w:val="22"/>
        </w:rPr>
        <w:t xml:space="preserve">annabis </w:t>
      </w:r>
      <w:r w:rsidR="00DB17BA" w:rsidRPr="007647B4">
        <w:rPr>
          <w:rFonts w:asciiTheme="minorHAnsi" w:hAnsiTheme="minorHAnsi" w:cstheme="minorHAnsi"/>
          <w:color w:val="000000" w:themeColor="text1"/>
          <w:sz w:val="22"/>
          <w:szCs w:val="22"/>
        </w:rPr>
        <w:t>b</w:t>
      </w:r>
      <w:r w:rsidRPr="007647B4">
        <w:rPr>
          <w:rFonts w:asciiTheme="minorHAnsi" w:hAnsiTheme="minorHAnsi" w:cstheme="minorHAnsi"/>
          <w:color w:val="000000" w:themeColor="text1"/>
          <w:sz w:val="22"/>
          <w:szCs w:val="22"/>
        </w:rPr>
        <w:t xml:space="preserve">usiness or </w:t>
      </w:r>
      <w:r w:rsidR="00DB17BA" w:rsidRPr="007647B4">
        <w:rPr>
          <w:rFonts w:asciiTheme="minorHAnsi" w:hAnsiTheme="minorHAnsi" w:cstheme="minorHAnsi"/>
          <w:color w:val="000000" w:themeColor="text1"/>
          <w:sz w:val="22"/>
          <w:szCs w:val="22"/>
        </w:rPr>
        <w:t>c</w:t>
      </w:r>
      <w:r w:rsidRPr="007647B4">
        <w:rPr>
          <w:rFonts w:asciiTheme="minorHAnsi" w:hAnsiTheme="minorHAnsi" w:cstheme="minorHAnsi"/>
          <w:color w:val="000000" w:themeColor="text1"/>
          <w:sz w:val="22"/>
          <w:szCs w:val="22"/>
        </w:rPr>
        <w:t xml:space="preserve">annabis or </w:t>
      </w:r>
      <w:r w:rsidR="00DB17BA" w:rsidRPr="007647B4">
        <w:rPr>
          <w:rFonts w:asciiTheme="minorHAnsi" w:hAnsiTheme="minorHAnsi" w:cstheme="minorHAnsi"/>
          <w:color w:val="000000" w:themeColor="text1"/>
          <w:sz w:val="22"/>
          <w:szCs w:val="22"/>
        </w:rPr>
        <w:t>c</w:t>
      </w:r>
      <w:r w:rsidRPr="007647B4">
        <w:rPr>
          <w:rFonts w:asciiTheme="minorHAnsi" w:hAnsiTheme="minorHAnsi" w:cstheme="minorHAnsi"/>
          <w:color w:val="000000" w:themeColor="text1"/>
          <w:sz w:val="22"/>
          <w:szCs w:val="22"/>
        </w:rPr>
        <w:t xml:space="preserve">annabis product brand identification, including logos, trademarks or names, may be used or licensed for use on clothing, toys, games, or game equipment, or other items typically marketed to or used by persons under the age of 21 or attractive to children or </w:t>
      </w:r>
      <w:r w:rsidRPr="007647B4">
        <w:rPr>
          <w:rFonts w:asciiTheme="minorHAnsi" w:hAnsiTheme="minorHAnsi" w:cstheme="minorHAnsi"/>
          <w:color w:val="000000" w:themeColor="text1"/>
          <w:sz w:val="22"/>
          <w:szCs w:val="22"/>
        </w:rPr>
        <w:lastRenderedPageBreak/>
        <w:t>youth.</w:t>
      </w:r>
      <w:r w:rsidR="006416EF" w:rsidRPr="007647B4">
        <w:rPr>
          <w:rFonts w:asciiTheme="minorHAnsi" w:hAnsiTheme="minorHAnsi" w:cstheme="minorHAnsi"/>
          <w:color w:val="000000" w:themeColor="text1"/>
          <w:sz w:val="22"/>
          <w:szCs w:val="22"/>
        </w:rPr>
        <w:t xml:space="preserve"> Mono County is an example of a local jurisdiction that has enacted youth-protective regulations relating to branding. (</w:t>
      </w:r>
      <w:r w:rsidR="00845695" w:rsidRPr="007647B4">
        <w:rPr>
          <w:rFonts w:asciiTheme="minorHAnsi" w:hAnsiTheme="minorHAnsi" w:cstheme="minorHAnsi"/>
          <w:color w:val="000000" w:themeColor="text1"/>
          <w:sz w:val="22"/>
          <w:szCs w:val="22"/>
        </w:rPr>
        <w:t>§</w:t>
      </w:r>
      <w:r w:rsidR="00DB17BA" w:rsidRPr="007647B4">
        <w:rPr>
          <w:rFonts w:asciiTheme="minorHAnsi" w:hAnsiTheme="minorHAnsi" w:cstheme="minorHAnsi"/>
          <w:color w:val="000000" w:themeColor="text1"/>
          <w:sz w:val="22"/>
          <w:szCs w:val="22"/>
        </w:rPr>
        <w:t xml:space="preserve"> </w:t>
      </w:r>
      <w:r w:rsidR="00845695" w:rsidRPr="007647B4">
        <w:rPr>
          <w:rFonts w:asciiTheme="minorHAnsi" w:hAnsiTheme="minorHAnsi" w:cstheme="minorHAnsi"/>
          <w:color w:val="000000" w:themeColor="text1"/>
          <w:sz w:val="22"/>
          <w:szCs w:val="22"/>
        </w:rPr>
        <w:t>5.60.180(E)</w:t>
      </w:r>
      <w:r w:rsidR="006416EF" w:rsidRPr="007647B4">
        <w:rPr>
          <w:rFonts w:asciiTheme="minorHAnsi" w:hAnsiTheme="minorHAnsi" w:cstheme="minorHAnsi"/>
          <w:color w:val="000000" w:themeColor="text1"/>
          <w:sz w:val="22"/>
          <w:szCs w:val="22"/>
        </w:rPr>
        <w:t xml:space="preserve">) </w:t>
      </w:r>
    </w:p>
    <w:p w14:paraId="7894428D" w14:textId="77777777" w:rsidR="000D4D18" w:rsidRPr="007647B4" w:rsidRDefault="000D4D18" w:rsidP="009367D6">
      <w:pPr>
        <w:jc w:val="both"/>
        <w:rPr>
          <w:rFonts w:asciiTheme="minorHAnsi" w:hAnsiTheme="minorHAnsi" w:cstheme="minorHAnsi"/>
          <w:color w:val="000000" w:themeColor="text1"/>
          <w:sz w:val="22"/>
          <w:szCs w:val="22"/>
        </w:rPr>
      </w:pPr>
    </w:p>
    <w:p w14:paraId="6B9767F5" w14:textId="1DB94EFA" w:rsidR="00A549C2" w:rsidRPr="007647B4" w:rsidRDefault="00932F13" w:rsidP="009367D6">
      <w:pPr>
        <w:pStyle w:val="ListParagraph"/>
        <w:jc w:val="both"/>
        <w:rPr>
          <w:rFonts w:asciiTheme="minorHAnsi" w:hAnsiTheme="minorHAnsi" w:cstheme="minorHAnsi"/>
          <w:b/>
          <w:color w:val="000000" w:themeColor="text1"/>
          <w:sz w:val="22"/>
          <w:szCs w:val="22"/>
        </w:rPr>
      </w:pPr>
      <w:r w:rsidRPr="00D32EBA">
        <w:rPr>
          <w:rFonts w:asciiTheme="minorHAnsi" w:hAnsiTheme="minorHAnsi" w:cstheme="minorHAnsi"/>
          <w:b/>
          <w:color w:val="000000" w:themeColor="text1"/>
          <w:sz w:val="22"/>
          <w:szCs w:val="22"/>
        </w:rPr>
        <w:t>1</w:t>
      </w:r>
      <w:r w:rsidR="002F3B3D" w:rsidRPr="00D32EBA">
        <w:rPr>
          <w:rFonts w:asciiTheme="minorHAnsi" w:hAnsiTheme="minorHAnsi" w:cstheme="minorHAnsi"/>
          <w:b/>
          <w:color w:val="000000" w:themeColor="text1"/>
          <w:sz w:val="22"/>
          <w:szCs w:val="22"/>
        </w:rPr>
        <w:t>0.</w:t>
      </w:r>
      <w:r w:rsidRPr="00EE331A">
        <w:rPr>
          <w:rFonts w:asciiTheme="minorHAnsi" w:hAnsiTheme="minorHAnsi" w:cstheme="minorHAnsi"/>
          <w:b/>
          <w:color w:val="000000" w:themeColor="text1"/>
          <w:sz w:val="22"/>
          <w:szCs w:val="22"/>
        </w:rPr>
        <w:t>e</w:t>
      </w:r>
      <w:r w:rsidR="002F3B3D" w:rsidRPr="00EE331A">
        <w:rPr>
          <w:rFonts w:asciiTheme="minorHAnsi" w:hAnsiTheme="minorHAnsi" w:cstheme="minorHAnsi"/>
          <w:b/>
          <w:color w:val="000000" w:themeColor="text1"/>
          <w:sz w:val="22"/>
          <w:szCs w:val="22"/>
        </w:rPr>
        <w:t>.</w:t>
      </w:r>
      <w:r w:rsidRPr="00A47FC2">
        <w:rPr>
          <w:rFonts w:asciiTheme="minorHAnsi" w:hAnsiTheme="minorHAnsi" w:cstheme="minorHAnsi"/>
          <w:b/>
          <w:color w:val="000000" w:themeColor="text1"/>
          <w:sz w:val="22"/>
          <w:szCs w:val="22"/>
        </w:rPr>
        <w:t xml:space="preserve">) </w:t>
      </w:r>
      <w:r w:rsidR="00A549C2" w:rsidRPr="007647B4">
        <w:rPr>
          <w:rFonts w:asciiTheme="minorHAnsi" w:hAnsiTheme="minorHAnsi" w:cstheme="minorHAnsi"/>
          <w:b/>
          <w:color w:val="000000" w:themeColor="text1"/>
          <w:sz w:val="22"/>
          <w:szCs w:val="22"/>
        </w:rPr>
        <w:t xml:space="preserve">Any </w:t>
      </w:r>
      <w:r w:rsidR="00DB17BA" w:rsidRPr="007647B4">
        <w:rPr>
          <w:rFonts w:asciiTheme="minorHAnsi" w:hAnsiTheme="minorHAnsi" w:cstheme="minorHAnsi"/>
          <w:b/>
          <w:color w:val="000000" w:themeColor="text1"/>
          <w:sz w:val="22"/>
          <w:szCs w:val="22"/>
        </w:rPr>
        <w:t>B</w:t>
      </w:r>
      <w:r w:rsidR="00A549C2" w:rsidRPr="007647B4">
        <w:rPr>
          <w:rFonts w:asciiTheme="minorHAnsi" w:hAnsiTheme="minorHAnsi" w:cstheme="minorHAnsi"/>
          <w:b/>
          <w:color w:val="000000" w:themeColor="text1"/>
          <w:sz w:val="22"/>
          <w:szCs w:val="22"/>
        </w:rPr>
        <w:t xml:space="preserve">randed </w:t>
      </w:r>
      <w:r w:rsidR="00DB17BA" w:rsidRPr="007647B4">
        <w:rPr>
          <w:rFonts w:asciiTheme="minorHAnsi" w:hAnsiTheme="minorHAnsi" w:cstheme="minorHAnsi"/>
          <w:b/>
          <w:color w:val="000000" w:themeColor="text1"/>
          <w:sz w:val="22"/>
          <w:szCs w:val="22"/>
        </w:rPr>
        <w:t>M</w:t>
      </w:r>
      <w:r w:rsidR="00A549C2" w:rsidRPr="007647B4">
        <w:rPr>
          <w:rFonts w:asciiTheme="minorHAnsi" w:hAnsiTheme="minorHAnsi" w:cstheme="minorHAnsi"/>
          <w:b/>
          <w:color w:val="000000" w:themeColor="text1"/>
          <w:sz w:val="22"/>
          <w:szCs w:val="22"/>
        </w:rPr>
        <w:t xml:space="preserve">erchandise </w:t>
      </w:r>
      <w:r w:rsidR="00DB17BA" w:rsidRPr="007647B4">
        <w:rPr>
          <w:rFonts w:asciiTheme="minorHAnsi" w:hAnsiTheme="minorHAnsi" w:cstheme="minorHAnsi"/>
          <w:b/>
          <w:color w:val="000000" w:themeColor="text1"/>
          <w:sz w:val="22"/>
          <w:szCs w:val="22"/>
        </w:rPr>
        <w:t>S</w:t>
      </w:r>
      <w:r w:rsidR="00A549C2" w:rsidRPr="007647B4">
        <w:rPr>
          <w:rFonts w:asciiTheme="minorHAnsi" w:hAnsiTheme="minorHAnsi" w:cstheme="minorHAnsi"/>
          <w:b/>
          <w:color w:val="000000" w:themeColor="text1"/>
          <w:sz w:val="22"/>
          <w:szCs w:val="22"/>
        </w:rPr>
        <w:t xml:space="preserve">hould </w:t>
      </w:r>
      <w:r w:rsidR="00DB17BA" w:rsidRPr="007647B4">
        <w:rPr>
          <w:rFonts w:asciiTheme="minorHAnsi" w:hAnsiTheme="minorHAnsi" w:cstheme="minorHAnsi"/>
          <w:b/>
          <w:color w:val="000000" w:themeColor="text1"/>
          <w:sz w:val="22"/>
          <w:szCs w:val="22"/>
        </w:rPr>
        <w:t>D</w:t>
      </w:r>
      <w:r w:rsidR="00A549C2" w:rsidRPr="007647B4">
        <w:rPr>
          <w:rFonts w:asciiTheme="minorHAnsi" w:hAnsiTheme="minorHAnsi" w:cstheme="minorHAnsi"/>
          <w:b/>
          <w:color w:val="000000" w:themeColor="text1"/>
          <w:sz w:val="22"/>
          <w:szCs w:val="22"/>
        </w:rPr>
        <w:t xml:space="preserve">isplay </w:t>
      </w:r>
      <w:r w:rsidR="00DB17BA" w:rsidRPr="007647B4">
        <w:rPr>
          <w:rFonts w:asciiTheme="minorHAnsi" w:hAnsiTheme="minorHAnsi" w:cstheme="minorHAnsi"/>
          <w:b/>
          <w:color w:val="000000" w:themeColor="text1"/>
          <w:sz w:val="22"/>
          <w:szCs w:val="22"/>
        </w:rPr>
        <w:t>M</w:t>
      </w:r>
      <w:r w:rsidR="00A549C2" w:rsidRPr="007647B4">
        <w:rPr>
          <w:rFonts w:asciiTheme="minorHAnsi" w:hAnsiTheme="minorHAnsi" w:cstheme="minorHAnsi"/>
          <w:b/>
          <w:color w:val="000000" w:themeColor="text1"/>
          <w:sz w:val="22"/>
          <w:szCs w:val="22"/>
        </w:rPr>
        <w:t xml:space="preserve">andatory </w:t>
      </w:r>
      <w:r w:rsidR="00DB17BA" w:rsidRPr="007647B4">
        <w:rPr>
          <w:rFonts w:asciiTheme="minorHAnsi" w:hAnsiTheme="minorHAnsi" w:cstheme="minorHAnsi"/>
          <w:b/>
          <w:color w:val="000000" w:themeColor="text1"/>
          <w:sz w:val="22"/>
          <w:szCs w:val="22"/>
        </w:rPr>
        <w:t>W</w:t>
      </w:r>
      <w:r w:rsidR="00A549C2" w:rsidRPr="007647B4">
        <w:rPr>
          <w:rFonts w:asciiTheme="minorHAnsi" w:hAnsiTheme="minorHAnsi" w:cstheme="minorHAnsi"/>
          <w:b/>
          <w:color w:val="000000" w:themeColor="text1"/>
          <w:sz w:val="22"/>
          <w:szCs w:val="22"/>
        </w:rPr>
        <w:t xml:space="preserve">arning as </w:t>
      </w:r>
      <w:r w:rsidR="00DB17BA" w:rsidRPr="007647B4">
        <w:rPr>
          <w:rFonts w:asciiTheme="minorHAnsi" w:hAnsiTheme="minorHAnsi" w:cstheme="minorHAnsi"/>
          <w:b/>
          <w:color w:val="000000" w:themeColor="text1"/>
          <w:sz w:val="22"/>
          <w:szCs w:val="22"/>
        </w:rPr>
        <w:t>A</w:t>
      </w:r>
      <w:r w:rsidR="00A549C2" w:rsidRPr="007647B4">
        <w:rPr>
          <w:rFonts w:asciiTheme="minorHAnsi" w:hAnsiTheme="minorHAnsi" w:cstheme="minorHAnsi"/>
          <w:b/>
          <w:color w:val="000000" w:themeColor="text1"/>
          <w:sz w:val="22"/>
          <w:szCs w:val="22"/>
        </w:rPr>
        <w:t>bove</w:t>
      </w:r>
    </w:p>
    <w:p w14:paraId="3AB0181F" w14:textId="77777777" w:rsidR="00A549C2" w:rsidRPr="007647B4" w:rsidRDefault="00A549C2" w:rsidP="009367D6">
      <w:pPr>
        <w:ind w:left="360"/>
        <w:jc w:val="both"/>
        <w:rPr>
          <w:rFonts w:asciiTheme="minorHAnsi" w:hAnsiTheme="minorHAnsi" w:cstheme="minorHAnsi"/>
          <w:color w:val="000000" w:themeColor="text1"/>
          <w:sz w:val="22"/>
          <w:szCs w:val="22"/>
        </w:rPr>
      </w:pPr>
    </w:p>
    <w:p w14:paraId="331FF467" w14:textId="147A8596" w:rsidR="00CB1EF0" w:rsidRPr="007647B4" w:rsidRDefault="00CB1EF0" w:rsidP="009367D6">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Any branded merchandise (hats, T-shirts, pens, etc.) using the name of a </w:t>
      </w:r>
      <w:r w:rsidR="008909BD" w:rsidRPr="007647B4">
        <w:rPr>
          <w:rFonts w:asciiTheme="minorHAnsi" w:hAnsiTheme="minorHAnsi" w:cstheme="minorHAnsi"/>
          <w:color w:val="000000" w:themeColor="text1"/>
          <w:sz w:val="22"/>
          <w:szCs w:val="22"/>
        </w:rPr>
        <w:t>c</w:t>
      </w:r>
      <w:r w:rsidRPr="007647B4">
        <w:rPr>
          <w:rFonts w:asciiTheme="minorHAnsi" w:hAnsiTheme="minorHAnsi" w:cstheme="minorHAnsi"/>
          <w:color w:val="000000" w:themeColor="text1"/>
          <w:sz w:val="22"/>
          <w:szCs w:val="22"/>
        </w:rPr>
        <w:t xml:space="preserve">annabis business or brand, </w:t>
      </w:r>
      <w:r w:rsidR="008909BD" w:rsidRPr="007647B4">
        <w:rPr>
          <w:rFonts w:asciiTheme="minorHAnsi" w:hAnsiTheme="minorHAnsi" w:cstheme="minorHAnsi"/>
          <w:color w:val="000000" w:themeColor="text1"/>
          <w:sz w:val="22"/>
          <w:szCs w:val="22"/>
        </w:rPr>
        <w:t>c</w:t>
      </w:r>
      <w:r w:rsidRPr="007647B4">
        <w:rPr>
          <w:rFonts w:asciiTheme="minorHAnsi" w:hAnsiTheme="minorHAnsi" w:cstheme="minorHAnsi"/>
          <w:color w:val="000000" w:themeColor="text1"/>
          <w:sz w:val="22"/>
          <w:szCs w:val="22"/>
        </w:rPr>
        <w:t xml:space="preserve">annabis, or a </w:t>
      </w:r>
      <w:r w:rsidR="008909BD" w:rsidRPr="007647B4">
        <w:rPr>
          <w:rFonts w:asciiTheme="minorHAnsi" w:hAnsiTheme="minorHAnsi" w:cstheme="minorHAnsi"/>
          <w:color w:val="000000" w:themeColor="text1"/>
          <w:sz w:val="22"/>
          <w:szCs w:val="22"/>
        </w:rPr>
        <w:t>c</w:t>
      </w:r>
      <w:r w:rsidRPr="007647B4">
        <w:rPr>
          <w:rFonts w:asciiTheme="minorHAnsi" w:hAnsiTheme="minorHAnsi" w:cstheme="minorHAnsi"/>
          <w:color w:val="000000" w:themeColor="text1"/>
          <w:sz w:val="22"/>
          <w:szCs w:val="22"/>
        </w:rPr>
        <w:t xml:space="preserve">annabis </w:t>
      </w:r>
      <w:r w:rsidR="008909BD" w:rsidRPr="007647B4">
        <w:rPr>
          <w:rFonts w:asciiTheme="minorHAnsi" w:hAnsiTheme="minorHAnsi" w:cstheme="minorHAnsi"/>
          <w:color w:val="000000" w:themeColor="text1"/>
          <w:sz w:val="22"/>
          <w:szCs w:val="22"/>
        </w:rPr>
        <w:t>p</w:t>
      </w:r>
      <w:r w:rsidRPr="007647B4">
        <w:rPr>
          <w:rFonts w:asciiTheme="minorHAnsi" w:hAnsiTheme="minorHAnsi" w:cstheme="minorHAnsi"/>
          <w:color w:val="000000" w:themeColor="text1"/>
          <w:sz w:val="22"/>
          <w:szCs w:val="22"/>
        </w:rPr>
        <w:t xml:space="preserve">roduct should be required to carry a mandatory warning box described above in at least the size of the business, brand or product name whichever is largest. </w:t>
      </w:r>
    </w:p>
    <w:p w14:paraId="47B84F66" w14:textId="04CADB71" w:rsidR="00CB1EF0" w:rsidRPr="007647B4" w:rsidRDefault="00CB1EF0" w:rsidP="009367D6">
      <w:pPr>
        <w:jc w:val="both"/>
        <w:rPr>
          <w:rFonts w:asciiTheme="minorHAnsi" w:hAnsiTheme="minorHAnsi" w:cstheme="minorHAnsi"/>
          <w:color w:val="000000" w:themeColor="text1"/>
          <w:sz w:val="22"/>
          <w:szCs w:val="22"/>
        </w:rPr>
      </w:pPr>
    </w:p>
    <w:p w14:paraId="2F3E37DF" w14:textId="3B63802B" w:rsidR="00CB1EF0" w:rsidRPr="007647B4" w:rsidRDefault="0022627A" w:rsidP="009367D6">
      <w:pPr>
        <w:jc w:val="both"/>
        <w:rPr>
          <w:rFonts w:asciiTheme="minorHAnsi" w:hAnsiTheme="minorHAnsi" w:cstheme="minorHAnsi"/>
          <w:b/>
          <w:color w:val="000000" w:themeColor="text1"/>
          <w:sz w:val="22"/>
          <w:szCs w:val="22"/>
        </w:rPr>
      </w:pPr>
      <w:r w:rsidRPr="007647B4">
        <w:rPr>
          <w:rFonts w:asciiTheme="minorHAnsi" w:hAnsiTheme="minorHAnsi" w:cstheme="minorHAnsi"/>
          <w:b/>
          <w:color w:val="000000" w:themeColor="text1"/>
          <w:sz w:val="22"/>
          <w:szCs w:val="22"/>
        </w:rPr>
        <w:t>1</w:t>
      </w:r>
      <w:r w:rsidR="002F3B3D" w:rsidRPr="007647B4">
        <w:rPr>
          <w:rFonts w:asciiTheme="minorHAnsi" w:hAnsiTheme="minorHAnsi" w:cstheme="minorHAnsi"/>
          <w:b/>
          <w:color w:val="000000" w:themeColor="text1"/>
          <w:sz w:val="22"/>
          <w:szCs w:val="22"/>
        </w:rPr>
        <w:t>1</w:t>
      </w:r>
      <w:r w:rsidR="00CB1EF0" w:rsidRPr="007647B4">
        <w:rPr>
          <w:rFonts w:asciiTheme="minorHAnsi" w:hAnsiTheme="minorHAnsi" w:cstheme="minorHAnsi"/>
          <w:b/>
          <w:color w:val="000000" w:themeColor="text1"/>
          <w:sz w:val="22"/>
          <w:szCs w:val="22"/>
        </w:rPr>
        <w:t xml:space="preserve">. Warnings to </w:t>
      </w:r>
      <w:r w:rsidR="00304DEA" w:rsidRPr="007647B4">
        <w:rPr>
          <w:rFonts w:asciiTheme="minorHAnsi" w:hAnsiTheme="minorHAnsi" w:cstheme="minorHAnsi"/>
          <w:b/>
          <w:color w:val="000000" w:themeColor="text1"/>
          <w:sz w:val="22"/>
          <w:szCs w:val="22"/>
        </w:rPr>
        <w:t>I</w:t>
      </w:r>
      <w:r w:rsidR="00CB1EF0" w:rsidRPr="007647B4">
        <w:rPr>
          <w:rFonts w:asciiTheme="minorHAnsi" w:hAnsiTheme="minorHAnsi" w:cstheme="minorHAnsi"/>
          <w:b/>
          <w:color w:val="000000" w:themeColor="text1"/>
          <w:sz w:val="22"/>
          <w:szCs w:val="22"/>
        </w:rPr>
        <w:t xml:space="preserve">mmigrant </w:t>
      </w:r>
      <w:r w:rsidR="00304DEA" w:rsidRPr="007647B4">
        <w:rPr>
          <w:rFonts w:asciiTheme="minorHAnsi" w:hAnsiTheme="minorHAnsi" w:cstheme="minorHAnsi"/>
          <w:b/>
          <w:color w:val="000000" w:themeColor="text1"/>
          <w:sz w:val="22"/>
          <w:szCs w:val="22"/>
        </w:rPr>
        <w:t>W</w:t>
      </w:r>
      <w:r w:rsidR="00CB1EF0" w:rsidRPr="007647B4">
        <w:rPr>
          <w:rFonts w:asciiTheme="minorHAnsi" w:hAnsiTheme="minorHAnsi" w:cstheme="minorHAnsi"/>
          <w:b/>
          <w:color w:val="000000" w:themeColor="text1"/>
          <w:sz w:val="22"/>
          <w:szCs w:val="22"/>
        </w:rPr>
        <w:t xml:space="preserve">orkers </w:t>
      </w:r>
    </w:p>
    <w:p w14:paraId="665D98D3" w14:textId="2FBCCC24" w:rsidR="00CB1EF0" w:rsidRPr="007647B4" w:rsidRDefault="00CB1EF0" w:rsidP="009367D6">
      <w:pPr>
        <w:jc w:val="both"/>
        <w:rPr>
          <w:rFonts w:asciiTheme="minorHAnsi" w:hAnsiTheme="minorHAnsi" w:cstheme="minorHAnsi"/>
          <w:b/>
          <w:color w:val="000000" w:themeColor="text1"/>
          <w:sz w:val="22"/>
          <w:szCs w:val="22"/>
        </w:rPr>
      </w:pPr>
    </w:p>
    <w:p w14:paraId="426404B8" w14:textId="595A768E" w:rsidR="00CB1EF0" w:rsidRPr="007647B4" w:rsidRDefault="00CB1EF0" w:rsidP="009367D6">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 xml:space="preserve">Because cannabis is still Schedule 1 under federal law, possession, acknowledgement of consumption, or of working in the industry can subject immigrants, even legal permanent residents, to being penalized or even deported, according to the Immigrant Legal Resources Center. Manufacturers should be required to inform and prominently post a warning to workers about potential legal risks of working in the cannabis industry for immigrants. Such a sign could include the following information: </w:t>
      </w:r>
    </w:p>
    <w:p w14:paraId="7E830198" w14:textId="77777777" w:rsidR="00F12703" w:rsidRPr="007647B4" w:rsidRDefault="00F12703" w:rsidP="009367D6">
      <w:pPr>
        <w:jc w:val="both"/>
        <w:rPr>
          <w:rFonts w:asciiTheme="minorHAnsi" w:hAnsiTheme="minorHAnsi" w:cstheme="minorHAnsi"/>
          <w:color w:val="000000" w:themeColor="text1"/>
          <w:sz w:val="22"/>
          <w:szCs w:val="22"/>
        </w:rPr>
      </w:pPr>
    </w:p>
    <w:p w14:paraId="3381795E" w14:textId="6C4AFF37" w:rsidR="00CB1EF0" w:rsidRPr="007647B4" w:rsidRDefault="00CB1EF0" w:rsidP="009367D6">
      <w:pPr>
        <w:jc w:val="both"/>
        <w:rPr>
          <w:rFonts w:asciiTheme="minorHAnsi" w:hAnsiTheme="minorHAnsi" w:cstheme="minorHAnsi"/>
          <w:i/>
          <w:color w:val="000000" w:themeColor="text1"/>
          <w:sz w:val="22"/>
          <w:szCs w:val="22"/>
        </w:rPr>
      </w:pPr>
      <w:r w:rsidRPr="007647B4">
        <w:rPr>
          <w:rFonts w:asciiTheme="minorHAnsi" w:hAnsiTheme="minorHAnsi" w:cstheme="minorHAnsi"/>
          <w:i/>
          <w:color w:val="000000" w:themeColor="text1"/>
          <w:sz w:val="22"/>
          <w:szCs w:val="22"/>
        </w:rPr>
        <w:t xml:space="preserve">“Even in California, </w:t>
      </w:r>
      <w:r w:rsidRPr="007647B4">
        <w:rPr>
          <w:rFonts w:asciiTheme="minorHAnsi" w:hAnsiTheme="minorHAnsi" w:cstheme="minorHAnsi"/>
          <w:b/>
          <w:i/>
          <w:color w:val="000000" w:themeColor="text1"/>
          <w:sz w:val="22"/>
          <w:szCs w:val="22"/>
        </w:rPr>
        <w:t>using or possessing marijuana or working in the marijuana industry is legally dangerous for any noncitizen</w:t>
      </w:r>
      <w:r w:rsidRPr="007647B4">
        <w:rPr>
          <w:rFonts w:asciiTheme="minorHAnsi" w:hAnsiTheme="minorHAnsi" w:cstheme="minorHAnsi"/>
          <w:i/>
          <w:color w:val="000000" w:themeColor="text1"/>
          <w:sz w:val="22"/>
          <w:szCs w:val="22"/>
        </w:rPr>
        <w:t>. This includes lawful permanent residents, undocumented persons, students, and others. Marijuana is illegal under federal law, and federal law controls immigration. If you work or are considering working in the marijuana industry, see an immigration attorney for advice. The State of California provides this information as a service to immigrant residents.”</w:t>
      </w:r>
    </w:p>
    <w:p w14:paraId="142DCEE7" w14:textId="3C673961" w:rsidR="00CB1EF0" w:rsidRPr="007647B4" w:rsidRDefault="00CB1EF0" w:rsidP="009367D6">
      <w:pPr>
        <w:jc w:val="both"/>
        <w:rPr>
          <w:rFonts w:asciiTheme="minorHAnsi" w:hAnsiTheme="minorHAnsi" w:cstheme="minorHAnsi"/>
          <w:i/>
          <w:color w:val="000000" w:themeColor="text1"/>
          <w:sz w:val="22"/>
          <w:szCs w:val="22"/>
        </w:rPr>
      </w:pPr>
    </w:p>
    <w:p w14:paraId="44073B17" w14:textId="7338BFB2" w:rsidR="00CB1EF0" w:rsidRPr="007647B4" w:rsidRDefault="00CB1EF0" w:rsidP="009367D6">
      <w:pPr>
        <w:jc w:val="both"/>
        <w:rPr>
          <w:rFonts w:asciiTheme="minorHAnsi" w:hAnsiTheme="minorHAnsi" w:cstheme="minorHAnsi"/>
          <w:b/>
          <w:color w:val="000000" w:themeColor="text1"/>
          <w:sz w:val="22"/>
          <w:szCs w:val="22"/>
        </w:rPr>
      </w:pPr>
      <w:r w:rsidRPr="007647B4">
        <w:rPr>
          <w:rFonts w:asciiTheme="minorHAnsi" w:hAnsiTheme="minorHAnsi" w:cstheme="minorHAnsi"/>
          <w:b/>
          <w:color w:val="000000" w:themeColor="text1"/>
          <w:sz w:val="22"/>
          <w:szCs w:val="22"/>
        </w:rPr>
        <w:t>1</w:t>
      </w:r>
      <w:r w:rsidR="002F3B3D" w:rsidRPr="007647B4">
        <w:rPr>
          <w:rFonts w:asciiTheme="minorHAnsi" w:hAnsiTheme="minorHAnsi" w:cstheme="minorHAnsi"/>
          <w:b/>
          <w:color w:val="000000" w:themeColor="text1"/>
          <w:sz w:val="22"/>
          <w:szCs w:val="22"/>
        </w:rPr>
        <w:t>2</w:t>
      </w:r>
      <w:r w:rsidRPr="007647B4">
        <w:rPr>
          <w:rFonts w:asciiTheme="minorHAnsi" w:hAnsiTheme="minorHAnsi" w:cstheme="minorHAnsi"/>
          <w:b/>
          <w:color w:val="000000" w:themeColor="text1"/>
          <w:sz w:val="22"/>
          <w:szCs w:val="22"/>
        </w:rPr>
        <w:t>.</w:t>
      </w:r>
      <w:r w:rsidR="00932F13" w:rsidRPr="007647B4">
        <w:rPr>
          <w:rFonts w:asciiTheme="minorHAnsi" w:hAnsiTheme="minorHAnsi" w:cstheme="minorHAnsi"/>
          <w:b/>
          <w:color w:val="000000" w:themeColor="text1"/>
          <w:sz w:val="22"/>
          <w:szCs w:val="22"/>
        </w:rPr>
        <w:t xml:space="preserve"> </w:t>
      </w:r>
      <w:r w:rsidRPr="007647B4">
        <w:rPr>
          <w:rFonts w:asciiTheme="minorHAnsi" w:hAnsiTheme="minorHAnsi" w:cstheme="minorHAnsi"/>
          <w:b/>
          <w:color w:val="000000" w:themeColor="text1"/>
          <w:sz w:val="22"/>
          <w:szCs w:val="22"/>
        </w:rPr>
        <w:t xml:space="preserve">Equity of </w:t>
      </w:r>
      <w:r w:rsidR="00F12703" w:rsidRPr="007647B4">
        <w:rPr>
          <w:rFonts w:asciiTheme="minorHAnsi" w:hAnsiTheme="minorHAnsi" w:cstheme="minorHAnsi"/>
          <w:b/>
          <w:color w:val="000000" w:themeColor="text1"/>
          <w:sz w:val="22"/>
          <w:szCs w:val="22"/>
        </w:rPr>
        <w:t>A</w:t>
      </w:r>
      <w:r w:rsidRPr="007647B4">
        <w:rPr>
          <w:rFonts w:asciiTheme="minorHAnsi" w:hAnsiTheme="minorHAnsi" w:cstheme="minorHAnsi"/>
          <w:b/>
          <w:color w:val="000000" w:themeColor="text1"/>
          <w:sz w:val="22"/>
          <w:szCs w:val="22"/>
        </w:rPr>
        <w:t xml:space="preserve">ccess (§ 40102-40165) </w:t>
      </w:r>
    </w:p>
    <w:p w14:paraId="21CBF018" w14:textId="77777777" w:rsidR="00CB1EF0" w:rsidRPr="007647B4" w:rsidRDefault="00CB1EF0" w:rsidP="009367D6">
      <w:pPr>
        <w:jc w:val="both"/>
        <w:rPr>
          <w:rFonts w:asciiTheme="minorHAnsi" w:hAnsiTheme="minorHAnsi" w:cstheme="minorHAnsi"/>
          <w:color w:val="000000" w:themeColor="text1"/>
          <w:sz w:val="22"/>
          <w:szCs w:val="22"/>
        </w:rPr>
      </w:pPr>
    </w:p>
    <w:p w14:paraId="61C0B13C" w14:textId="58E3C5E3" w:rsidR="00CB1EF0" w:rsidRPr="007647B4" w:rsidRDefault="00CB1EF0" w:rsidP="009367D6">
      <w:pPr>
        <w:jc w:val="both"/>
        <w:rPr>
          <w:rFonts w:asciiTheme="minorHAnsi" w:hAnsiTheme="minorHAnsi" w:cstheme="minorHAnsi"/>
          <w:color w:val="000000" w:themeColor="text1"/>
          <w:sz w:val="22"/>
          <w:szCs w:val="22"/>
        </w:rPr>
      </w:pPr>
      <w:proofErr w:type="gramStart"/>
      <w:r w:rsidRPr="007647B4">
        <w:rPr>
          <w:rFonts w:asciiTheme="minorHAnsi" w:hAnsiTheme="minorHAnsi" w:cstheme="minorHAnsi"/>
          <w:color w:val="000000" w:themeColor="text1"/>
          <w:sz w:val="22"/>
          <w:szCs w:val="22"/>
        </w:rPr>
        <w:t>Also</w:t>
      </w:r>
      <w:proofErr w:type="gramEnd"/>
      <w:r w:rsidRPr="007647B4">
        <w:rPr>
          <w:rFonts w:asciiTheme="minorHAnsi" w:hAnsiTheme="minorHAnsi" w:cstheme="minorHAnsi"/>
          <w:color w:val="000000" w:themeColor="text1"/>
          <w:sz w:val="22"/>
          <w:szCs w:val="22"/>
        </w:rPr>
        <w:t xml:space="preserve"> of note is the paucity of considerations given to promoting access to participation in this industry by individuals from communities that have been strongly harmed by mass incarceration as a result of cannabis’ illegality. We strongly encourage the Department to include provisions to prioritize and facilitate businesses created by individuals from communities with high rates of drug</w:t>
      </w:r>
      <w:r w:rsidR="008909BD" w:rsidRPr="007647B4">
        <w:rPr>
          <w:rFonts w:asciiTheme="minorHAnsi" w:hAnsiTheme="minorHAnsi" w:cstheme="minorHAnsi"/>
          <w:color w:val="000000" w:themeColor="text1"/>
          <w:sz w:val="22"/>
          <w:szCs w:val="22"/>
        </w:rPr>
        <w:t>-</w:t>
      </w:r>
      <w:r w:rsidRPr="007647B4">
        <w:rPr>
          <w:rFonts w:asciiTheme="minorHAnsi" w:hAnsiTheme="minorHAnsi" w:cstheme="minorHAnsi"/>
          <w:color w:val="000000" w:themeColor="text1"/>
          <w:sz w:val="22"/>
          <w:szCs w:val="22"/>
        </w:rPr>
        <w:t xml:space="preserve">related </w:t>
      </w:r>
      <w:r w:rsidR="001E1684" w:rsidRPr="007647B4">
        <w:rPr>
          <w:rFonts w:asciiTheme="minorHAnsi" w:hAnsiTheme="minorHAnsi" w:cstheme="minorHAnsi"/>
          <w:color w:val="000000" w:themeColor="text1"/>
          <w:sz w:val="22"/>
          <w:szCs w:val="22"/>
        </w:rPr>
        <w:t>incarceration or</w:t>
      </w:r>
      <w:r w:rsidRPr="007647B4">
        <w:rPr>
          <w:rFonts w:asciiTheme="minorHAnsi" w:hAnsiTheme="minorHAnsi" w:cstheme="minorHAnsi"/>
          <w:color w:val="000000" w:themeColor="text1"/>
          <w:sz w:val="22"/>
          <w:szCs w:val="22"/>
        </w:rPr>
        <w:t xml:space="preserve"> committed to generating employment for those communities. </w:t>
      </w:r>
    </w:p>
    <w:p w14:paraId="389485C7" w14:textId="34DCFD5C" w:rsidR="00845695" w:rsidRPr="007647B4" w:rsidRDefault="00845695" w:rsidP="009367D6">
      <w:pPr>
        <w:jc w:val="both"/>
        <w:rPr>
          <w:rFonts w:asciiTheme="minorHAnsi" w:hAnsiTheme="minorHAnsi" w:cstheme="minorHAnsi"/>
          <w:color w:val="000000" w:themeColor="text1"/>
          <w:sz w:val="22"/>
          <w:szCs w:val="22"/>
        </w:rPr>
      </w:pPr>
    </w:p>
    <w:p w14:paraId="0AF0BA2E" w14:textId="210A1B67" w:rsidR="001F47EB" w:rsidRPr="007647B4" w:rsidRDefault="00845695" w:rsidP="009367D6">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There are already examples of local jurisdictions enacting regulations that make equity a priority and these can serve as an example for CDPH.</w:t>
      </w:r>
      <w:r w:rsidR="00DA6B6F" w:rsidRPr="007647B4">
        <w:rPr>
          <w:rFonts w:asciiTheme="minorHAnsi" w:hAnsiTheme="minorHAnsi" w:cstheme="minorHAnsi"/>
          <w:color w:val="000000" w:themeColor="text1"/>
          <w:sz w:val="22"/>
          <w:szCs w:val="22"/>
        </w:rPr>
        <w:t xml:space="preserve"> </w:t>
      </w:r>
      <w:r w:rsidRPr="007647B4">
        <w:rPr>
          <w:rFonts w:asciiTheme="minorHAnsi" w:hAnsiTheme="minorHAnsi" w:cstheme="minorHAnsi"/>
          <w:color w:val="000000" w:themeColor="text1"/>
          <w:sz w:val="22"/>
          <w:szCs w:val="22"/>
        </w:rPr>
        <w:t xml:space="preserve">For example, L.A. City </w:t>
      </w:r>
      <w:r w:rsidR="001F47EB" w:rsidRPr="007647B4">
        <w:rPr>
          <w:rFonts w:asciiTheme="minorHAnsi" w:hAnsiTheme="minorHAnsi" w:cstheme="minorHAnsi"/>
          <w:color w:val="000000" w:themeColor="text1"/>
          <w:sz w:val="22"/>
          <w:szCs w:val="22"/>
        </w:rPr>
        <w:t>requires that permittees make a good faith effort to ensure that at least 30% of their workforce is performed by individuals living within 3 miles of the retail store. Furthermore, at least 10% of the weekly hours of the permittee’s workforce is to be given to “transitional workers” which are defined as</w:t>
      </w:r>
      <w:r w:rsidR="00DA6B6F" w:rsidRPr="007647B4">
        <w:rPr>
          <w:rFonts w:asciiTheme="minorHAnsi" w:hAnsiTheme="minorHAnsi" w:cstheme="minorHAnsi"/>
          <w:color w:val="000000" w:themeColor="text1"/>
          <w:sz w:val="22"/>
          <w:szCs w:val="22"/>
        </w:rPr>
        <w:t xml:space="preserve"> </w:t>
      </w:r>
      <w:r w:rsidR="001F47EB" w:rsidRPr="007647B4">
        <w:rPr>
          <w:rFonts w:asciiTheme="minorHAnsi" w:hAnsiTheme="minorHAnsi" w:cstheme="minorHAnsi"/>
          <w:color w:val="000000" w:themeColor="text1"/>
          <w:sz w:val="22"/>
          <w:szCs w:val="22"/>
        </w:rPr>
        <w:t xml:space="preserve">“a person who, at the time of starting employment at the Business Premises, resides in an Economically Disadvantaged Area or Extremely Economically Disadvantaged Area” and meets one of several other criteria such as being homeless, receiving public assistance, having a criminal record, lacking a GED, or being chronically unemployed. (Sec. 104.10(l)). </w:t>
      </w:r>
    </w:p>
    <w:p w14:paraId="35F571FA" w14:textId="24224AA1" w:rsidR="001F47EB" w:rsidRPr="007647B4" w:rsidRDefault="001F47EB" w:rsidP="009367D6">
      <w:pPr>
        <w:jc w:val="both"/>
        <w:rPr>
          <w:rFonts w:asciiTheme="minorHAnsi" w:hAnsiTheme="minorHAnsi" w:cstheme="minorHAnsi"/>
          <w:color w:val="000000" w:themeColor="text1"/>
          <w:sz w:val="22"/>
          <w:szCs w:val="22"/>
        </w:rPr>
      </w:pPr>
    </w:p>
    <w:p w14:paraId="5295CEEA" w14:textId="79F813B0" w:rsidR="001F47EB" w:rsidRPr="007647B4" w:rsidRDefault="001F47EB" w:rsidP="009367D6">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The city of Oakland also has equity-related regulations. For example, at least half of the 8 new retail permits allowed annually must go to “equity applicants,”</w:t>
      </w:r>
      <w:r w:rsidR="00FC507E" w:rsidRPr="007647B4">
        <w:rPr>
          <w:rFonts w:asciiTheme="minorHAnsi" w:hAnsiTheme="minorHAnsi" w:cstheme="minorHAnsi"/>
          <w:color w:val="000000" w:themeColor="text1"/>
          <w:sz w:val="22"/>
          <w:szCs w:val="22"/>
        </w:rPr>
        <w:t xml:space="preserve"> (Sec. 5.80.020(C))</w:t>
      </w:r>
      <w:r w:rsidRPr="007647B4">
        <w:rPr>
          <w:rFonts w:asciiTheme="minorHAnsi" w:hAnsiTheme="minorHAnsi" w:cstheme="minorHAnsi"/>
          <w:color w:val="000000" w:themeColor="text1"/>
          <w:sz w:val="22"/>
          <w:szCs w:val="22"/>
        </w:rPr>
        <w:t xml:space="preserve"> defined as an Oakland resident, with annual income at or less than 80% of Oakland Average Medium </w:t>
      </w:r>
      <w:r w:rsidR="001E1684" w:rsidRPr="007647B4">
        <w:rPr>
          <w:rFonts w:asciiTheme="minorHAnsi" w:hAnsiTheme="minorHAnsi" w:cstheme="minorHAnsi"/>
          <w:color w:val="000000" w:themeColor="text1"/>
          <w:sz w:val="22"/>
          <w:szCs w:val="22"/>
        </w:rPr>
        <w:t>Income and</w:t>
      </w:r>
      <w:r w:rsidRPr="007647B4">
        <w:rPr>
          <w:rFonts w:asciiTheme="minorHAnsi" w:hAnsiTheme="minorHAnsi" w:cstheme="minorHAnsi"/>
          <w:color w:val="000000" w:themeColor="text1"/>
          <w:sz w:val="22"/>
          <w:szCs w:val="22"/>
        </w:rPr>
        <w:t xml:space="preserve"> has either lived in specified “police beats” or possesses a cannabis-related conviction committed in Oakland. </w:t>
      </w:r>
      <w:r w:rsidR="00FC507E" w:rsidRPr="007647B4">
        <w:rPr>
          <w:rFonts w:asciiTheme="minorHAnsi" w:hAnsiTheme="minorHAnsi" w:cstheme="minorHAnsi"/>
          <w:color w:val="000000" w:themeColor="text1"/>
          <w:sz w:val="22"/>
          <w:szCs w:val="22"/>
        </w:rPr>
        <w:t>Equity applicants are also eligible to participate in the “equity assistance” program which includes industry-specific technical assistance, business ownership technical assistance, no-interest business start-up loans, and waivers of city permitting fees. (Sec. 5.80.045(C)).</w:t>
      </w:r>
    </w:p>
    <w:p w14:paraId="3FC6E96B" w14:textId="5B36F895" w:rsidR="00FC507E" w:rsidRPr="007647B4" w:rsidRDefault="00FC507E" w:rsidP="009367D6">
      <w:pPr>
        <w:jc w:val="both"/>
        <w:rPr>
          <w:rFonts w:asciiTheme="minorHAnsi" w:hAnsiTheme="minorHAnsi" w:cstheme="minorHAnsi"/>
          <w:color w:val="000000" w:themeColor="text1"/>
          <w:sz w:val="22"/>
          <w:szCs w:val="22"/>
        </w:rPr>
      </w:pPr>
    </w:p>
    <w:p w14:paraId="27013383" w14:textId="352B7E11" w:rsidR="00170E58" w:rsidRPr="007647B4" w:rsidRDefault="00804E4F" w:rsidP="009367D6">
      <w:pPr>
        <w:jc w:val="both"/>
        <w:rPr>
          <w:rFonts w:asciiTheme="minorHAnsi" w:hAnsiTheme="minorHAnsi" w:cstheme="minorHAnsi"/>
          <w:sz w:val="22"/>
          <w:szCs w:val="22"/>
        </w:rPr>
      </w:pPr>
      <w:r w:rsidRPr="007647B4">
        <w:rPr>
          <w:rFonts w:asciiTheme="minorHAnsi" w:hAnsiTheme="minorHAnsi" w:cstheme="minorHAnsi"/>
          <w:color w:val="000000" w:themeColor="text1"/>
          <w:sz w:val="22"/>
          <w:szCs w:val="22"/>
        </w:rPr>
        <w:lastRenderedPageBreak/>
        <w:t>In the March 15, 2018 minutes for the meeting of the</w:t>
      </w:r>
      <w:r w:rsidR="00DA6B6F" w:rsidRPr="007647B4">
        <w:rPr>
          <w:rFonts w:asciiTheme="minorHAnsi" w:hAnsiTheme="minorHAnsi" w:cstheme="minorHAnsi"/>
          <w:color w:val="000000" w:themeColor="text1"/>
          <w:sz w:val="22"/>
          <w:szCs w:val="22"/>
        </w:rPr>
        <w:t xml:space="preserve"> </w:t>
      </w:r>
      <w:r w:rsidR="00B01B4A" w:rsidRPr="007647B4">
        <w:rPr>
          <w:rFonts w:asciiTheme="minorHAnsi" w:hAnsiTheme="minorHAnsi" w:cstheme="minorHAnsi"/>
          <w:color w:val="000000" w:themeColor="text1"/>
          <w:sz w:val="22"/>
          <w:szCs w:val="22"/>
        </w:rPr>
        <w:t>State Cannabis Advisory Committee</w:t>
      </w:r>
      <w:r w:rsidRPr="007647B4">
        <w:rPr>
          <w:rFonts w:asciiTheme="minorHAnsi" w:hAnsiTheme="minorHAnsi" w:cstheme="minorHAnsi"/>
          <w:color w:val="000000" w:themeColor="text1"/>
          <w:sz w:val="22"/>
          <w:szCs w:val="22"/>
        </w:rPr>
        <w:t>, the committee</w:t>
      </w:r>
      <w:r w:rsidR="00DA6B6F" w:rsidRPr="007647B4">
        <w:rPr>
          <w:rFonts w:asciiTheme="minorHAnsi" w:hAnsiTheme="minorHAnsi" w:cstheme="minorHAnsi"/>
          <w:color w:val="000000" w:themeColor="text1"/>
          <w:sz w:val="22"/>
          <w:szCs w:val="22"/>
        </w:rPr>
        <w:t xml:space="preserve"> </w:t>
      </w:r>
      <w:r w:rsidR="00170E58" w:rsidRPr="007647B4">
        <w:rPr>
          <w:rFonts w:asciiTheme="minorHAnsi" w:hAnsiTheme="minorHAnsi" w:cstheme="minorHAnsi"/>
          <w:color w:val="000000" w:themeColor="text1"/>
          <w:sz w:val="22"/>
          <w:szCs w:val="22"/>
        </w:rPr>
        <w:t xml:space="preserve">adopted all eight (8) of the subcommittee on equity’s </w:t>
      </w:r>
      <w:r w:rsidR="00B01B4A" w:rsidRPr="007647B4">
        <w:rPr>
          <w:rFonts w:asciiTheme="minorHAnsi" w:hAnsiTheme="minorHAnsi" w:cstheme="minorHAnsi"/>
          <w:color w:val="000000" w:themeColor="text1"/>
          <w:sz w:val="22"/>
          <w:szCs w:val="22"/>
        </w:rPr>
        <w:t>recommend</w:t>
      </w:r>
      <w:r w:rsidR="00170E58" w:rsidRPr="007647B4">
        <w:rPr>
          <w:rFonts w:asciiTheme="minorHAnsi" w:hAnsiTheme="minorHAnsi" w:cstheme="minorHAnsi"/>
          <w:color w:val="000000" w:themeColor="text1"/>
          <w:sz w:val="22"/>
          <w:szCs w:val="22"/>
        </w:rPr>
        <w:t xml:space="preserve">ations on equity. This includes the recommendation that </w:t>
      </w:r>
      <w:r w:rsidR="00B01B4A" w:rsidRPr="007647B4">
        <w:rPr>
          <w:rFonts w:asciiTheme="minorHAnsi" w:hAnsiTheme="minorHAnsi" w:cstheme="minorHAnsi"/>
          <w:color w:val="000000" w:themeColor="text1"/>
          <w:sz w:val="22"/>
          <w:szCs w:val="22"/>
        </w:rPr>
        <w:t>state licensing authorities adopt a “state-level equity licensing program</w:t>
      </w:r>
      <w:r w:rsidR="00170E58" w:rsidRPr="007647B4">
        <w:rPr>
          <w:rFonts w:asciiTheme="minorHAnsi" w:hAnsiTheme="minorHAnsi" w:cstheme="minorHAnsi"/>
          <w:sz w:val="22"/>
          <w:szCs w:val="22"/>
        </w:rPr>
        <w:t xml:space="preserve"> that supports the local equity licensing programs that have been developed and supports equity applicants from jurisdictions where programs have not been developed.” The Committee also recommends considering fee waivers or reductions for equity applicants and having the licensing authorities “explore access for equity applicants to property and premises. This could include working with local licensing programs to allow annual licensees to sublease a portion of their licensed premises to an equity applicant; allowing co-location or shared premises by equity applicants; developing pre-licensing programs for equity applicants; and, to the extent possible, creating incentives and protections for property owners to lease to equity applicants</w:t>
      </w:r>
      <w:r w:rsidRPr="007647B4">
        <w:rPr>
          <w:rFonts w:asciiTheme="minorHAnsi" w:hAnsiTheme="minorHAnsi" w:cstheme="minorHAnsi"/>
          <w:sz w:val="22"/>
          <w:szCs w:val="22"/>
        </w:rPr>
        <w:t>.</w:t>
      </w:r>
      <w:r w:rsidR="008909BD" w:rsidRPr="007647B4">
        <w:rPr>
          <w:rFonts w:asciiTheme="minorHAnsi" w:hAnsiTheme="minorHAnsi" w:cstheme="minorHAnsi"/>
          <w:sz w:val="22"/>
          <w:szCs w:val="22"/>
        </w:rPr>
        <w:t>”</w:t>
      </w:r>
      <w:r w:rsidRPr="007647B4">
        <w:rPr>
          <w:rFonts w:asciiTheme="minorHAnsi" w:hAnsiTheme="minorHAnsi" w:cstheme="minorHAnsi"/>
          <w:sz w:val="22"/>
          <w:szCs w:val="22"/>
        </w:rPr>
        <w:t xml:space="preserve"> </w:t>
      </w:r>
      <w:r w:rsidR="00170E58" w:rsidRPr="007647B4">
        <w:rPr>
          <w:rFonts w:asciiTheme="minorHAnsi" w:hAnsiTheme="minorHAnsi" w:cstheme="minorHAnsi"/>
          <w:sz w:val="22"/>
          <w:szCs w:val="22"/>
        </w:rPr>
        <w:t>The Committee further recommend</w:t>
      </w:r>
      <w:r w:rsidR="008909BD" w:rsidRPr="007647B4">
        <w:rPr>
          <w:rFonts w:asciiTheme="minorHAnsi" w:hAnsiTheme="minorHAnsi" w:cstheme="minorHAnsi"/>
          <w:sz w:val="22"/>
          <w:szCs w:val="22"/>
        </w:rPr>
        <w:t>ed</w:t>
      </w:r>
      <w:r w:rsidR="00170E58" w:rsidRPr="007647B4">
        <w:rPr>
          <w:rFonts w:asciiTheme="minorHAnsi" w:hAnsiTheme="minorHAnsi" w:cstheme="minorHAnsi"/>
          <w:sz w:val="22"/>
          <w:szCs w:val="22"/>
        </w:rPr>
        <w:t xml:space="preserve"> examining the current equity programs in certain California cities “to support the development of a state-adopted policy statement that embraces a statewide equity program.”</w:t>
      </w:r>
    </w:p>
    <w:p w14:paraId="66EB49F0" w14:textId="06878787" w:rsidR="00B01B4A" w:rsidRPr="007647B4" w:rsidRDefault="00B01B4A" w:rsidP="009367D6">
      <w:pPr>
        <w:jc w:val="both"/>
        <w:rPr>
          <w:rFonts w:asciiTheme="minorHAnsi" w:hAnsiTheme="minorHAnsi" w:cstheme="minorHAnsi"/>
          <w:color w:val="000000" w:themeColor="text1"/>
          <w:sz w:val="22"/>
          <w:szCs w:val="22"/>
        </w:rPr>
      </w:pPr>
    </w:p>
    <w:p w14:paraId="0F6592E9" w14:textId="56781C54" w:rsidR="00FC507E" w:rsidRPr="007647B4" w:rsidRDefault="00FC507E" w:rsidP="009367D6">
      <w:pPr>
        <w:jc w:val="both"/>
        <w:rPr>
          <w:rFonts w:asciiTheme="minorHAnsi" w:hAnsiTheme="minorHAnsi" w:cstheme="minorHAnsi"/>
          <w:b/>
          <w:color w:val="000000" w:themeColor="text1"/>
          <w:sz w:val="22"/>
          <w:szCs w:val="22"/>
        </w:rPr>
      </w:pPr>
      <w:r w:rsidRPr="007647B4">
        <w:rPr>
          <w:rFonts w:asciiTheme="minorHAnsi" w:hAnsiTheme="minorHAnsi" w:cstheme="minorHAnsi"/>
          <w:b/>
          <w:color w:val="000000" w:themeColor="text1"/>
          <w:sz w:val="22"/>
          <w:szCs w:val="22"/>
        </w:rPr>
        <w:t>We recommend that CDPH adopt equity-promoting provisions into their regulations</w:t>
      </w:r>
      <w:r w:rsidR="009E43E5" w:rsidRPr="007647B4">
        <w:rPr>
          <w:rFonts w:asciiTheme="minorHAnsi" w:hAnsiTheme="minorHAnsi" w:cstheme="minorHAnsi"/>
          <w:b/>
          <w:color w:val="000000" w:themeColor="text1"/>
          <w:sz w:val="22"/>
          <w:szCs w:val="22"/>
        </w:rPr>
        <w:t xml:space="preserve"> on manufacturing licensing</w:t>
      </w:r>
      <w:r w:rsidRPr="007647B4">
        <w:rPr>
          <w:rFonts w:asciiTheme="minorHAnsi" w:hAnsiTheme="minorHAnsi" w:cstheme="minorHAnsi"/>
          <w:b/>
          <w:color w:val="000000" w:themeColor="text1"/>
          <w:sz w:val="22"/>
          <w:szCs w:val="22"/>
        </w:rPr>
        <w:t>.</w:t>
      </w:r>
    </w:p>
    <w:p w14:paraId="63D07A49" w14:textId="10AA71B1" w:rsidR="00CB1EF0" w:rsidRPr="007647B4" w:rsidRDefault="00CB1EF0" w:rsidP="009367D6">
      <w:pPr>
        <w:jc w:val="both"/>
        <w:rPr>
          <w:rFonts w:asciiTheme="minorHAnsi" w:hAnsiTheme="minorHAnsi" w:cstheme="minorHAnsi"/>
          <w:color w:val="000000" w:themeColor="text1"/>
          <w:sz w:val="22"/>
          <w:szCs w:val="22"/>
        </w:rPr>
      </w:pPr>
    </w:p>
    <w:p w14:paraId="70FDAC73" w14:textId="60901B87" w:rsidR="00CB1EF0" w:rsidRPr="007647B4" w:rsidRDefault="0022627A" w:rsidP="009367D6">
      <w:pPr>
        <w:jc w:val="both"/>
        <w:rPr>
          <w:rFonts w:asciiTheme="minorHAnsi" w:hAnsiTheme="minorHAnsi" w:cstheme="minorHAnsi"/>
          <w:color w:val="000000" w:themeColor="text1"/>
          <w:sz w:val="22"/>
          <w:szCs w:val="22"/>
        </w:rPr>
      </w:pPr>
      <w:r w:rsidRPr="007647B4">
        <w:rPr>
          <w:rFonts w:asciiTheme="minorHAnsi" w:hAnsiTheme="minorHAnsi" w:cstheme="minorHAnsi"/>
          <w:b/>
          <w:color w:val="000000" w:themeColor="text1"/>
          <w:sz w:val="22"/>
          <w:szCs w:val="22"/>
        </w:rPr>
        <w:t>1</w:t>
      </w:r>
      <w:r w:rsidR="002F3B3D" w:rsidRPr="007647B4">
        <w:rPr>
          <w:rFonts w:asciiTheme="minorHAnsi" w:hAnsiTheme="minorHAnsi" w:cstheme="minorHAnsi"/>
          <w:b/>
          <w:color w:val="000000" w:themeColor="text1"/>
          <w:sz w:val="22"/>
          <w:szCs w:val="22"/>
        </w:rPr>
        <w:t>3</w:t>
      </w:r>
      <w:r w:rsidR="00CB1EF0" w:rsidRPr="007647B4">
        <w:rPr>
          <w:rFonts w:asciiTheme="minorHAnsi" w:hAnsiTheme="minorHAnsi" w:cstheme="minorHAnsi"/>
          <w:b/>
          <w:color w:val="000000" w:themeColor="text1"/>
          <w:sz w:val="22"/>
          <w:szCs w:val="22"/>
        </w:rPr>
        <w:t>.</w:t>
      </w:r>
      <w:r w:rsidR="00A549C2" w:rsidRPr="007647B4">
        <w:rPr>
          <w:rFonts w:asciiTheme="minorHAnsi" w:hAnsiTheme="minorHAnsi" w:cstheme="minorHAnsi"/>
          <w:b/>
          <w:color w:val="000000" w:themeColor="text1"/>
          <w:sz w:val="22"/>
          <w:szCs w:val="22"/>
        </w:rPr>
        <w:t xml:space="preserve"> </w:t>
      </w:r>
      <w:r w:rsidR="00CB1EF0" w:rsidRPr="007647B4">
        <w:rPr>
          <w:rFonts w:asciiTheme="minorHAnsi" w:hAnsiTheme="minorHAnsi" w:cstheme="minorHAnsi"/>
          <w:b/>
          <w:color w:val="000000" w:themeColor="text1"/>
          <w:sz w:val="22"/>
          <w:szCs w:val="22"/>
        </w:rPr>
        <w:t>Persons Prohibited from Holding Licenses (§ 40116)</w:t>
      </w:r>
      <w:r w:rsidR="00CB1EF0" w:rsidRPr="007647B4">
        <w:rPr>
          <w:rFonts w:asciiTheme="minorHAnsi" w:hAnsiTheme="minorHAnsi" w:cstheme="minorHAnsi"/>
          <w:color w:val="000000" w:themeColor="text1"/>
          <w:sz w:val="22"/>
          <w:szCs w:val="22"/>
        </w:rPr>
        <w:t xml:space="preserve"> </w:t>
      </w:r>
    </w:p>
    <w:p w14:paraId="45430811" w14:textId="77777777" w:rsidR="00CB1EF0" w:rsidRPr="007647B4" w:rsidRDefault="00CB1EF0" w:rsidP="009367D6">
      <w:pPr>
        <w:jc w:val="both"/>
        <w:rPr>
          <w:rFonts w:asciiTheme="minorHAnsi" w:hAnsiTheme="minorHAnsi" w:cstheme="minorHAnsi"/>
          <w:color w:val="000000" w:themeColor="text1"/>
          <w:sz w:val="22"/>
          <w:szCs w:val="22"/>
        </w:rPr>
      </w:pPr>
    </w:p>
    <w:p w14:paraId="445411DA" w14:textId="1358783F" w:rsidR="00B01B4A" w:rsidRPr="007647B4" w:rsidRDefault="00B01B4A" w:rsidP="009367D6">
      <w:pPr>
        <w:jc w:val="both"/>
        <w:rPr>
          <w:rFonts w:asciiTheme="minorHAnsi" w:hAnsiTheme="minorHAnsi" w:cstheme="minorHAnsi"/>
          <w:sz w:val="22"/>
          <w:szCs w:val="22"/>
        </w:rPr>
      </w:pPr>
      <w:r w:rsidRPr="007647B4">
        <w:rPr>
          <w:rFonts w:asciiTheme="minorHAnsi" w:hAnsiTheme="minorHAnsi" w:cstheme="minorHAnsi"/>
          <w:color w:val="000000" w:themeColor="text1"/>
          <w:sz w:val="22"/>
          <w:szCs w:val="22"/>
        </w:rPr>
        <w:t xml:space="preserve">The proposed regulations prohibit </w:t>
      </w:r>
      <w:r w:rsidRPr="007647B4">
        <w:rPr>
          <w:rFonts w:asciiTheme="minorHAnsi" w:hAnsiTheme="minorHAnsi" w:cstheme="minorHAnsi"/>
          <w:sz w:val="22"/>
          <w:szCs w:val="22"/>
        </w:rPr>
        <w:t>state and local law enforcement officers and other government officials with job duties related to enforcement of cannabis laws and regulations from holding licenses or cannabis business ownership interests (§ 40116). We would</w:t>
      </w:r>
      <w:r w:rsidR="009367D6" w:rsidRPr="007647B4">
        <w:rPr>
          <w:rFonts w:asciiTheme="minorHAnsi" w:hAnsiTheme="minorHAnsi" w:cstheme="minorHAnsi"/>
          <w:sz w:val="22"/>
          <w:szCs w:val="22"/>
        </w:rPr>
        <w:t xml:space="preserve"> recommend clarifying that this prohibition extends to persons </w:t>
      </w:r>
      <w:r w:rsidR="00CB1EF0" w:rsidRPr="007647B4">
        <w:rPr>
          <w:rFonts w:asciiTheme="minorHAnsi" w:hAnsiTheme="minorHAnsi" w:cstheme="minorHAnsi"/>
          <w:color w:val="000000" w:themeColor="text1"/>
          <w:sz w:val="22"/>
          <w:szCs w:val="22"/>
        </w:rPr>
        <w:t xml:space="preserve">employed by public health departments or environmental health departments, as these are likely to be involved in oversight or inspection. </w:t>
      </w:r>
      <w:r w:rsidRPr="007647B4">
        <w:rPr>
          <w:rFonts w:asciiTheme="minorHAnsi" w:hAnsiTheme="minorHAnsi" w:cstheme="minorHAnsi"/>
          <w:color w:val="000000" w:themeColor="text1"/>
          <w:sz w:val="22"/>
          <w:szCs w:val="22"/>
        </w:rPr>
        <w:t>We would further recommend that, in order to fully effectuate CDPH’s</w:t>
      </w:r>
      <w:r w:rsidRPr="007647B4">
        <w:rPr>
          <w:rFonts w:asciiTheme="minorHAnsi" w:hAnsiTheme="minorHAnsi" w:cstheme="minorHAnsi"/>
          <w:sz w:val="22"/>
          <w:szCs w:val="22"/>
        </w:rPr>
        <w:t xml:space="preserve"> goal of “ensur[ing] that those who are responsible for enforcement of the laws are not in a position to benefit from enforcement or lack thereof,” CDPH should extend this prohibition to prohibit licensure or ownership for a defined period (e.g., one year) following separation from a government agency or office.</w:t>
      </w:r>
    </w:p>
    <w:p w14:paraId="1D6637EC" w14:textId="77777777" w:rsidR="00B01B4A" w:rsidRPr="007647B4" w:rsidRDefault="00B01B4A" w:rsidP="009367D6">
      <w:pPr>
        <w:jc w:val="both"/>
        <w:rPr>
          <w:rFonts w:asciiTheme="minorHAnsi" w:hAnsiTheme="minorHAnsi" w:cstheme="minorHAnsi"/>
          <w:sz w:val="22"/>
          <w:szCs w:val="22"/>
        </w:rPr>
      </w:pPr>
    </w:p>
    <w:p w14:paraId="3025436F" w14:textId="692AAD6B" w:rsidR="00B01B4A" w:rsidRPr="007647B4" w:rsidRDefault="00B01B4A" w:rsidP="009367D6">
      <w:pPr>
        <w:jc w:val="both"/>
        <w:rPr>
          <w:rFonts w:asciiTheme="minorHAnsi" w:hAnsiTheme="minorHAnsi" w:cstheme="minorHAnsi"/>
          <w:sz w:val="22"/>
          <w:szCs w:val="22"/>
        </w:rPr>
      </w:pPr>
      <w:r w:rsidRPr="007647B4">
        <w:rPr>
          <w:rFonts w:asciiTheme="minorHAnsi" w:hAnsiTheme="minorHAnsi" w:cstheme="minorHAnsi"/>
          <w:sz w:val="22"/>
          <w:szCs w:val="22"/>
        </w:rPr>
        <w:t xml:space="preserve">This modification would further reduce the potential for conflicts of interest not otherwise prohibited by the proposed regulations, such as giving preferential treatment to a business entity that has </w:t>
      </w:r>
      <w:proofErr w:type="gramStart"/>
      <w:r w:rsidRPr="007647B4">
        <w:rPr>
          <w:rFonts w:asciiTheme="minorHAnsi" w:hAnsiTheme="minorHAnsi" w:cstheme="minorHAnsi"/>
          <w:sz w:val="22"/>
          <w:szCs w:val="22"/>
        </w:rPr>
        <w:t>made arrangements</w:t>
      </w:r>
      <w:proofErr w:type="gramEnd"/>
      <w:r w:rsidRPr="007647B4">
        <w:rPr>
          <w:rFonts w:asciiTheme="minorHAnsi" w:hAnsiTheme="minorHAnsi" w:cstheme="minorHAnsi"/>
          <w:sz w:val="22"/>
          <w:szCs w:val="22"/>
        </w:rPr>
        <w:t xml:space="preserve"> to hire the official at a future date. Such “revolving door” prohibitions are commonplace for government officials in many states, such as legislators leaving public service to enter lobbying positions</w:t>
      </w:r>
      <w:r w:rsidR="00F12703" w:rsidRPr="007647B4">
        <w:rPr>
          <w:rFonts w:asciiTheme="minorHAnsi" w:hAnsiTheme="minorHAnsi" w:cstheme="minorHAnsi"/>
          <w:sz w:val="22"/>
          <w:szCs w:val="22"/>
        </w:rPr>
        <w:t>.</w:t>
      </w:r>
      <w:r w:rsidR="00F12703" w:rsidRPr="007647B4">
        <w:rPr>
          <w:rStyle w:val="FootnoteReference"/>
          <w:rFonts w:asciiTheme="minorHAnsi" w:hAnsiTheme="minorHAnsi" w:cstheme="minorHAnsi"/>
          <w:sz w:val="22"/>
          <w:szCs w:val="22"/>
        </w:rPr>
        <w:footnoteReference w:id="182"/>
      </w:r>
    </w:p>
    <w:p w14:paraId="254BD2B7" w14:textId="68DF7F15" w:rsidR="0078613E" w:rsidRPr="007647B4" w:rsidRDefault="0078613E" w:rsidP="009367D6">
      <w:pPr>
        <w:jc w:val="both"/>
        <w:rPr>
          <w:rFonts w:asciiTheme="minorHAnsi" w:hAnsiTheme="minorHAnsi" w:cstheme="minorHAnsi"/>
          <w:sz w:val="22"/>
          <w:szCs w:val="22"/>
        </w:rPr>
      </w:pPr>
    </w:p>
    <w:p w14:paraId="0DD47254" w14:textId="72E6C7E1" w:rsidR="00CB1EF0" w:rsidRPr="008D1B9C" w:rsidRDefault="0078613E" w:rsidP="008D1B9C">
      <w:pPr>
        <w:rPr>
          <w:rFonts w:asciiTheme="minorHAnsi" w:hAnsiTheme="minorHAnsi" w:cstheme="minorHAnsi"/>
          <w:sz w:val="22"/>
          <w:szCs w:val="22"/>
        </w:rPr>
      </w:pPr>
      <w:r w:rsidRPr="007647B4">
        <w:rPr>
          <w:rFonts w:asciiTheme="minorHAnsi" w:hAnsiTheme="minorHAnsi" w:cstheme="minorHAnsi"/>
          <w:sz w:val="22"/>
          <w:szCs w:val="22"/>
        </w:rPr>
        <w:t xml:space="preserve">We </w:t>
      </w:r>
      <w:r w:rsidRPr="008D1B9C">
        <w:rPr>
          <w:rFonts w:asciiTheme="minorHAnsi" w:hAnsiTheme="minorHAnsi" w:cstheme="minorHAnsi"/>
          <w:sz w:val="22"/>
          <w:szCs w:val="22"/>
        </w:rPr>
        <w:t xml:space="preserve">further recommend that </w:t>
      </w:r>
      <w:r w:rsidRPr="008D1B9C">
        <w:rPr>
          <w:rFonts w:asciiTheme="minorHAnsi" w:hAnsiTheme="minorHAnsi" w:cstheme="minorHAnsi"/>
          <w:bCs/>
          <w:color w:val="000000"/>
          <w:sz w:val="22"/>
          <w:szCs w:val="22"/>
          <w:shd w:val="clear" w:color="auto" w:fill="FFFFFF"/>
        </w:rPr>
        <w:t xml:space="preserve">the regulations also explicitly prohibit </w:t>
      </w:r>
      <w:r w:rsidR="008D1B9C" w:rsidRPr="008D1B9C">
        <w:rPr>
          <w:rFonts w:asciiTheme="minorHAnsi" w:hAnsiTheme="minorHAnsi" w:cstheme="minorHAnsi"/>
          <w:bCs/>
          <w:color w:val="000000"/>
          <w:sz w:val="22"/>
          <w:szCs w:val="22"/>
          <w:shd w:val="clear" w:color="auto" w:fill="FFFFFF"/>
        </w:rPr>
        <w:t>manufacturers</w:t>
      </w:r>
      <w:r w:rsidRPr="008D1B9C">
        <w:rPr>
          <w:rFonts w:asciiTheme="minorHAnsi" w:hAnsiTheme="minorHAnsi" w:cstheme="minorHAnsi"/>
          <w:bCs/>
          <w:color w:val="000000"/>
          <w:sz w:val="22"/>
          <w:szCs w:val="22"/>
          <w:shd w:val="clear" w:color="auto" w:fill="FFFFFF"/>
        </w:rPr>
        <w:t xml:space="preserve"> from maintaining a financial relationship with a physician or other prescriber involving prescribing of cannabis, including working on the premises of the licensee or in a business agreement with a licensee.</w:t>
      </w:r>
      <w:r w:rsidRPr="007647B4">
        <w:rPr>
          <w:rFonts w:asciiTheme="minorHAnsi" w:hAnsiTheme="minorHAnsi" w:cstheme="minorHAnsi"/>
          <w:b/>
          <w:bCs/>
          <w:color w:val="000000"/>
          <w:sz w:val="22"/>
          <w:szCs w:val="22"/>
          <w:shd w:val="clear" w:color="auto" w:fill="FFFFFF"/>
        </w:rPr>
        <w:t xml:space="preserve">  </w:t>
      </w:r>
      <w:r w:rsidRPr="007647B4">
        <w:rPr>
          <w:rFonts w:asciiTheme="minorHAnsi" w:hAnsiTheme="minorHAnsi" w:cstheme="minorHAnsi"/>
          <w:color w:val="000000"/>
          <w:sz w:val="22"/>
          <w:szCs w:val="22"/>
          <w:shd w:val="clear" w:color="auto" w:fill="FFFFFF"/>
        </w:rPr>
        <w:t xml:space="preserve"> Cannabis prescriber conflict of interest regulations, already broadly in use in the practice of medicine, have been adopted in Berkeley, Blythe, Hayward, the City of Los Angeles, Mono County, Pasadena, City of San </w:t>
      </w:r>
      <w:proofErr w:type="gramStart"/>
      <w:r w:rsidRPr="007647B4">
        <w:rPr>
          <w:rFonts w:asciiTheme="minorHAnsi" w:hAnsiTheme="minorHAnsi" w:cstheme="minorHAnsi"/>
          <w:color w:val="000000"/>
          <w:sz w:val="22"/>
          <w:szCs w:val="22"/>
          <w:shd w:val="clear" w:color="auto" w:fill="FFFFFF"/>
        </w:rPr>
        <w:t>Diego  and</w:t>
      </w:r>
      <w:proofErr w:type="gramEnd"/>
      <w:r w:rsidRPr="007647B4">
        <w:rPr>
          <w:rFonts w:asciiTheme="minorHAnsi" w:hAnsiTheme="minorHAnsi" w:cstheme="minorHAnsi"/>
          <w:color w:val="000000"/>
          <w:sz w:val="22"/>
          <w:szCs w:val="22"/>
          <w:shd w:val="clear" w:color="auto" w:fill="FFFFFF"/>
        </w:rPr>
        <w:t xml:space="preserve"> the City and County of San Francisco. </w:t>
      </w:r>
    </w:p>
    <w:p w14:paraId="38E2F928" w14:textId="77777777" w:rsidR="007647B4" w:rsidRDefault="007647B4" w:rsidP="009367D6">
      <w:pPr>
        <w:jc w:val="both"/>
        <w:rPr>
          <w:rFonts w:asciiTheme="minorHAnsi" w:hAnsiTheme="minorHAnsi" w:cstheme="minorHAnsi"/>
          <w:b/>
          <w:color w:val="000000" w:themeColor="text1"/>
          <w:sz w:val="22"/>
          <w:szCs w:val="22"/>
        </w:rPr>
      </w:pPr>
    </w:p>
    <w:p w14:paraId="57F28B76" w14:textId="3B43F38B" w:rsidR="00CB1EF0" w:rsidRPr="007647B4" w:rsidRDefault="00CB1EF0" w:rsidP="009367D6">
      <w:pPr>
        <w:jc w:val="both"/>
        <w:rPr>
          <w:rFonts w:asciiTheme="minorHAnsi" w:hAnsiTheme="minorHAnsi" w:cstheme="minorHAnsi"/>
          <w:b/>
          <w:color w:val="000000" w:themeColor="text1"/>
          <w:sz w:val="22"/>
          <w:szCs w:val="22"/>
        </w:rPr>
      </w:pPr>
      <w:r w:rsidRPr="007647B4">
        <w:rPr>
          <w:rFonts w:asciiTheme="minorHAnsi" w:hAnsiTheme="minorHAnsi" w:cstheme="minorHAnsi"/>
          <w:b/>
          <w:color w:val="000000" w:themeColor="text1"/>
          <w:sz w:val="22"/>
          <w:szCs w:val="22"/>
        </w:rPr>
        <w:t>CONCLUSION</w:t>
      </w:r>
      <w:r w:rsidRPr="007647B4">
        <w:rPr>
          <w:rFonts w:asciiTheme="minorHAnsi" w:hAnsiTheme="minorHAnsi" w:cstheme="minorHAnsi"/>
          <w:b/>
          <w:color w:val="000000" w:themeColor="text1"/>
          <w:sz w:val="22"/>
          <w:szCs w:val="22"/>
        </w:rPr>
        <w:br/>
      </w:r>
    </w:p>
    <w:p w14:paraId="0429FD64" w14:textId="35884CC7" w:rsidR="00407069" w:rsidRPr="007647B4" w:rsidRDefault="00CB1EF0" w:rsidP="009367D6">
      <w:pPr>
        <w:jc w:val="both"/>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lastRenderedPageBreak/>
        <w:t>In summary, while the science surrounding the potential harms and benefits of cannabis is evolving, clearly identified risks of dependence, cardiovascular and pulmonary disease, and irreversible effects on mental health, low birth weight and accidents, amongst other concerns</w:t>
      </w:r>
      <w:r w:rsidR="001D2122" w:rsidRPr="007647B4">
        <w:rPr>
          <w:rFonts w:asciiTheme="minorHAnsi" w:hAnsiTheme="minorHAnsi" w:cstheme="minorHAnsi"/>
          <w:color w:val="000000" w:themeColor="text1"/>
          <w:sz w:val="22"/>
          <w:szCs w:val="22"/>
        </w:rPr>
        <w:t>,</w:t>
      </w:r>
      <w:r w:rsidRPr="007647B4">
        <w:rPr>
          <w:rFonts w:asciiTheme="minorHAnsi" w:hAnsiTheme="minorHAnsi" w:cstheme="minorHAnsi"/>
          <w:color w:val="000000" w:themeColor="text1"/>
          <w:sz w:val="22"/>
          <w:szCs w:val="22"/>
        </w:rPr>
        <w:t xml:space="preserve"> justify a cautious approach to rolling out legalization. </w:t>
      </w:r>
      <w:r w:rsidR="000B7EE5" w:rsidRPr="007647B4">
        <w:rPr>
          <w:rFonts w:asciiTheme="minorHAnsi" w:hAnsiTheme="minorHAnsi" w:cstheme="minorHAnsi"/>
          <w:color w:val="000000" w:themeColor="text1"/>
          <w:sz w:val="22"/>
          <w:szCs w:val="22"/>
        </w:rPr>
        <w:t xml:space="preserve">Legalizing cannabis should not mean legalizing every conceivable cannabis product. </w:t>
      </w:r>
      <w:r w:rsidRPr="007647B4">
        <w:rPr>
          <w:rFonts w:asciiTheme="minorHAnsi" w:hAnsiTheme="minorHAnsi" w:cstheme="minorHAnsi"/>
          <w:color w:val="000000" w:themeColor="text1"/>
          <w:sz w:val="22"/>
          <w:szCs w:val="22"/>
        </w:rPr>
        <w:t>Permitting unfettered marketing that will rapidly consolidate the presence of a wide variety of products we already know to be particularly risky, is deeply unwise. It is also not required by MAUCRSA and the legalization process. While the Department’s proposed regulations reflect many public health best practices, they fall short in other areas. Incorporating additional best practices from tobacco and alcohol control to limit the presence of products which are particularly harmful or attractive to youth,</w:t>
      </w:r>
      <w:r w:rsidR="00DA6B6F" w:rsidRPr="007647B4">
        <w:rPr>
          <w:rFonts w:asciiTheme="minorHAnsi" w:hAnsiTheme="minorHAnsi" w:cstheme="minorHAnsi"/>
          <w:color w:val="000000" w:themeColor="text1"/>
          <w:sz w:val="22"/>
          <w:szCs w:val="22"/>
        </w:rPr>
        <w:t xml:space="preserve"> </w:t>
      </w:r>
      <w:r w:rsidR="000B7EE5" w:rsidRPr="007647B4">
        <w:rPr>
          <w:rFonts w:asciiTheme="minorHAnsi" w:hAnsiTheme="minorHAnsi" w:cstheme="minorHAnsi"/>
          <w:color w:val="000000" w:themeColor="text1"/>
          <w:sz w:val="22"/>
          <w:szCs w:val="22"/>
        </w:rPr>
        <w:t xml:space="preserve">limiting potency of cannabis and concentrates and prohibiting flavors attractive to youth, </w:t>
      </w:r>
      <w:r w:rsidR="008D1B9C">
        <w:rPr>
          <w:rFonts w:asciiTheme="minorHAnsi" w:hAnsiTheme="minorHAnsi" w:cstheme="minorHAnsi"/>
          <w:color w:val="000000" w:themeColor="text1"/>
          <w:sz w:val="22"/>
          <w:szCs w:val="22"/>
        </w:rPr>
        <w:t xml:space="preserve">protecting children from accidental ingestion, </w:t>
      </w:r>
      <w:r w:rsidRPr="007647B4">
        <w:rPr>
          <w:rFonts w:asciiTheme="minorHAnsi" w:hAnsiTheme="minorHAnsi" w:cstheme="minorHAnsi"/>
          <w:color w:val="000000" w:themeColor="text1"/>
          <w:sz w:val="22"/>
          <w:szCs w:val="22"/>
        </w:rPr>
        <w:t>improv</w:t>
      </w:r>
      <w:r w:rsidR="000B7EE5" w:rsidRPr="007647B4">
        <w:rPr>
          <w:rFonts w:asciiTheme="minorHAnsi" w:hAnsiTheme="minorHAnsi" w:cstheme="minorHAnsi"/>
          <w:color w:val="000000" w:themeColor="text1"/>
          <w:sz w:val="22"/>
          <w:szCs w:val="22"/>
        </w:rPr>
        <w:t>ing</w:t>
      </w:r>
      <w:r w:rsidRPr="007647B4">
        <w:rPr>
          <w:rFonts w:asciiTheme="minorHAnsi" w:hAnsiTheme="minorHAnsi" w:cstheme="minorHAnsi"/>
          <w:color w:val="000000" w:themeColor="text1"/>
          <w:sz w:val="22"/>
          <w:szCs w:val="22"/>
        </w:rPr>
        <w:t xml:space="preserve"> the size and clarity of </w:t>
      </w:r>
      <w:r w:rsidR="000B7EE5" w:rsidRPr="007647B4">
        <w:rPr>
          <w:rFonts w:asciiTheme="minorHAnsi" w:hAnsiTheme="minorHAnsi" w:cstheme="minorHAnsi"/>
          <w:color w:val="000000" w:themeColor="text1"/>
          <w:sz w:val="22"/>
          <w:szCs w:val="22"/>
        </w:rPr>
        <w:t>warnings</w:t>
      </w:r>
      <w:r w:rsidRPr="007647B4">
        <w:rPr>
          <w:rFonts w:asciiTheme="minorHAnsi" w:hAnsiTheme="minorHAnsi" w:cstheme="minorHAnsi"/>
          <w:color w:val="000000" w:themeColor="text1"/>
          <w:sz w:val="22"/>
          <w:szCs w:val="22"/>
        </w:rPr>
        <w:t>, restrict</w:t>
      </w:r>
      <w:r w:rsidR="008D1B9C">
        <w:rPr>
          <w:rFonts w:asciiTheme="minorHAnsi" w:hAnsiTheme="minorHAnsi" w:cstheme="minorHAnsi"/>
          <w:color w:val="000000" w:themeColor="text1"/>
          <w:sz w:val="22"/>
          <w:szCs w:val="22"/>
        </w:rPr>
        <w:t>ing</w:t>
      </w:r>
      <w:r w:rsidRPr="007647B4">
        <w:rPr>
          <w:rFonts w:asciiTheme="minorHAnsi" w:hAnsiTheme="minorHAnsi" w:cstheme="minorHAnsi"/>
          <w:color w:val="000000" w:themeColor="text1"/>
          <w:sz w:val="22"/>
          <w:szCs w:val="22"/>
        </w:rPr>
        <w:t xml:space="preserve"> marketing, limit</w:t>
      </w:r>
      <w:r w:rsidR="008D1B9C">
        <w:rPr>
          <w:rFonts w:asciiTheme="minorHAnsi" w:hAnsiTheme="minorHAnsi" w:cstheme="minorHAnsi"/>
          <w:color w:val="000000" w:themeColor="text1"/>
          <w:sz w:val="22"/>
          <w:szCs w:val="22"/>
        </w:rPr>
        <w:t>ing</w:t>
      </w:r>
      <w:r w:rsidRPr="007647B4">
        <w:rPr>
          <w:rFonts w:asciiTheme="minorHAnsi" w:hAnsiTheme="minorHAnsi" w:cstheme="minorHAnsi"/>
          <w:color w:val="000000" w:themeColor="text1"/>
          <w:sz w:val="22"/>
          <w:szCs w:val="22"/>
        </w:rPr>
        <w:t xml:space="preserve"> total THC content, and prevent</w:t>
      </w:r>
      <w:r w:rsidR="008D1B9C">
        <w:rPr>
          <w:rFonts w:asciiTheme="minorHAnsi" w:hAnsiTheme="minorHAnsi" w:cstheme="minorHAnsi"/>
          <w:color w:val="000000" w:themeColor="text1"/>
          <w:sz w:val="22"/>
          <w:szCs w:val="22"/>
        </w:rPr>
        <w:t>ing</w:t>
      </w:r>
      <w:r w:rsidRPr="007647B4">
        <w:rPr>
          <w:rFonts w:asciiTheme="minorHAnsi" w:hAnsiTheme="minorHAnsi" w:cstheme="minorHAnsi"/>
          <w:color w:val="000000" w:themeColor="text1"/>
          <w:sz w:val="22"/>
          <w:szCs w:val="22"/>
        </w:rPr>
        <w:t xml:space="preserve"> the addition of additives that increase risks of addiction and youth use will promote a functional and well</w:t>
      </w:r>
      <w:r w:rsidR="001B2BE9" w:rsidRPr="007647B4">
        <w:rPr>
          <w:rFonts w:asciiTheme="minorHAnsi" w:hAnsiTheme="minorHAnsi" w:cstheme="minorHAnsi"/>
          <w:color w:val="000000" w:themeColor="text1"/>
          <w:sz w:val="22"/>
          <w:szCs w:val="22"/>
        </w:rPr>
        <w:t>-</w:t>
      </w:r>
      <w:r w:rsidRPr="007647B4">
        <w:rPr>
          <w:rFonts w:asciiTheme="minorHAnsi" w:hAnsiTheme="minorHAnsi" w:cstheme="minorHAnsi"/>
          <w:color w:val="000000" w:themeColor="text1"/>
          <w:sz w:val="22"/>
          <w:szCs w:val="22"/>
        </w:rPr>
        <w:t xml:space="preserve">regulated cannabis system that prioritizes protection of public health over business interests in the State of California. Thank you for considering these recommendations. </w:t>
      </w:r>
    </w:p>
    <w:p w14:paraId="7D8D9CC7" w14:textId="77777777" w:rsidR="00F12703" w:rsidRPr="007647B4" w:rsidRDefault="00F12703" w:rsidP="009367D6">
      <w:pPr>
        <w:jc w:val="both"/>
        <w:rPr>
          <w:rFonts w:asciiTheme="minorHAnsi" w:hAnsiTheme="minorHAnsi" w:cstheme="minorHAnsi"/>
          <w:color w:val="000000" w:themeColor="text1"/>
          <w:sz w:val="22"/>
          <w:szCs w:val="22"/>
        </w:rPr>
      </w:pPr>
    </w:p>
    <w:p w14:paraId="17E68928" w14:textId="6C1B7A33" w:rsidR="00407069" w:rsidRPr="007647B4" w:rsidRDefault="00407069" w:rsidP="00CB1EF0">
      <w:pPr>
        <w:rPr>
          <w:rFonts w:asciiTheme="minorHAnsi" w:hAnsiTheme="minorHAnsi" w:cstheme="minorHAnsi"/>
          <w:color w:val="000000" w:themeColor="text1"/>
          <w:sz w:val="22"/>
          <w:szCs w:val="22"/>
        </w:rPr>
      </w:pPr>
      <w:r w:rsidRPr="007647B4">
        <w:rPr>
          <w:rFonts w:asciiTheme="minorHAnsi" w:hAnsiTheme="minorHAnsi" w:cstheme="minorHAnsi"/>
          <w:color w:val="000000" w:themeColor="text1"/>
          <w:sz w:val="22"/>
          <w:szCs w:val="22"/>
        </w:rPr>
        <w:t>Sincerely</w:t>
      </w:r>
      <w:r w:rsidR="00D74832" w:rsidRPr="007647B4">
        <w:rPr>
          <w:rFonts w:asciiTheme="minorHAnsi" w:hAnsiTheme="minorHAnsi" w:cstheme="minorHAnsi"/>
          <w:color w:val="000000" w:themeColor="text1"/>
          <w:sz w:val="22"/>
          <w:szCs w:val="22"/>
        </w:rPr>
        <w:t>,</w:t>
      </w:r>
    </w:p>
    <w:p w14:paraId="783B26D8" w14:textId="104E1EBD" w:rsidR="00407069" w:rsidRPr="007647B4" w:rsidRDefault="00407069" w:rsidP="00CB1EF0">
      <w:pPr>
        <w:rPr>
          <w:rFonts w:asciiTheme="minorHAnsi" w:hAnsiTheme="minorHAnsi" w:cstheme="minorHAnsi"/>
          <w:color w:val="000000" w:themeColor="text1"/>
          <w:sz w:val="22"/>
          <w:szCs w:val="22"/>
        </w:rPr>
      </w:pPr>
    </w:p>
    <w:p w14:paraId="1FFDEC4A" w14:textId="34C65FAC" w:rsidR="00407069" w:rsidRPr="007647B4" w:rsidRDefault="00407069" w:rsidP="00CB1EF0">
      <w:pPr>
        <w:rPr>
          <w:rFonts w:asciiTheme="minorHAnsi" w:hAnsiTheme="minorHAnsi" w:cstheme="minorHAnsi"/>
          <w:color w:val="000000" w:themeColor="text1"/>
          <w:sz w:val="22"/>
          <w:szCs w:val="22"/>
        </w:rPr>
      </w:pPr>
    </w:p>
    <w:p w14:paraId="3418E3A6" w14:textId="59FE255D" w:rsidR="00A969B8" w:rsidRPr="007647B4" w:rsidRDefault="00F12703" w:rsidP="00316817">
      <w:pPr>
        <w:rPr>
          <w:rFonts w:asciiTheme="minorHAnsi" w:hAnsiTheme="minorHAnsi" w:cstheme="minorHAnsi"/>
          <w:color w:val="000000" w:themeColor="text1"/>
          <w:sz w:val="22"/>
          <w:szCs w:val="22"/>
        </w:rPr>
      </w:pPr>
      <w:r w:rsidRPr="007647B4">
        <w:rPr>
          <w:rFonts w:asciiTheme="minorHAnsi" w:hAnsiTheme="minorHAnsi" w:cstheme="minorHAnsi"/>
          <w:sz w:val="22"/>
          <w:szCs w:val="22"/>
          <w:highlight w:val="yellow"/>
        </w:rPr>
        <w:t>[INSERT SIGNATURE(S)]</w:t>
      </w:r>
    </w:p>
    <w:sectPr w:rsidR="00A969B8" w:rsidRPr="007647B4" w:rsidSect="000C48E8">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13618" w14:textId="77777777" w:rsidR="000D3FDC" w:rsidRDefault="000D3FDC" w:rsidP="00DF44BD">
      <w:r>
        <w:separator/>
      </w:r>
    </w:p>
  </w:endnote>
  <w:endnote w:type="continuationSeparator" w:id="0">
    <w:p w14:paraId="522349BA" w14:textId="77777777" w:rsidR="000D3FDC" w:rsidRDefault="000D3FDC" w:rsidP="00DF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roxima Nova Alt Rg">
    <w:altName w:val="Tahom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dy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7476889"/>
      <w:docPartObj>
        <w:docPartGallery w:val="Page Numbers (Bottom of Page)"/>
        <w:docPartUnique/>
      </w:docPartObj>
    </w:sdtPr>
    <w:sdtContent>
      <w:p w14:paraId="28D0EF12" w14:textId="5B7DE41E" w:rsidR="007647B4" w:rsidRDefault="007647B4" w:rsidP="005145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ABB879" w14:textId="77777777" w:rsidR="007647B4" w:rsidRDefault="007647B4" w:rsidP="007647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6989871"/>
      <w:docPartObj>
        <w:docPartGallery w:val="Page Numbers (Bottom of Page)"/>
        <w:docPartUnique/>
      </w:docPartObj>
    </w:sdtPr>
    <w:sdtContent>
      <w:p w14:paraId="3A284E75" w14:textId="709549F0" w:rsidR="007647B4" w:rsidRDefault="007647B4" w:rsidP="005145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BF2CD9" w14:textId="77777777" w:rsidR="007647B4" w:rsidRDefault="007647B4" w:rsidP="007647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05822" w14:textId="77777777" w:rsidR="000D3FDC" w:rsidRDefault="000D3FDC" w:rsidP="00DF44BD">
      <w:r>
        <w:separator/>
      </w:r>
    </w:p>
  </w:footnote>
  <w:footnote w:type="continuationSeparator" w:id="0">
    <w:p w14:paraId="5F032A61" w14:textId="77777777" w:rsidR="000D3FDC" w:rsidRDefault="000D3FDC" w:rsidP="00DF44BD">
      <w:r>
        <w:continuationSeparator/>
      </w:r>
    </w:p>
  </w:footnote>
  <w:footnote w:id="1">
    <w:p w14:paraId="0C62C8AB" w14:textId="57FF3369" w:rsidR="007647B4" w:rsidRPr="007647B4" w:rsidRDefault="007647B4" w:rsidP="008A35D7">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Barry, R.A. and S. Glantz, A Public Health Framework for Legalized Retail Marijuana Based on the US Experience: Avoiding a New Tobacco Industry. PLoS Med, 2016. 13(9): p. e1002131. </w:t>
      </w:r>
    </w:p>
  </w:footnote>
  <w:footnote w:id="2">
    <w:p w14:paraId="0DD1F5D3" w14:textId="43D1F204" w:rsidR="007647B4" w:rsidRPr="00EE331A"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EE331A">
        <w:rPr>
          <w:rFonts w:asciiTheme="minorHAnsi" w:hAnsiTheme="minorHAnsi" w:cstheme="minorHAnsi"/>
          <w:color w:val="000000" w:themeColor="text1"/>
          <w:sz w:val="16"/>
          <w:szCs w:val="16"/>
        </w:rPr>
        <w:t>Barry, R.A., H. Hiilamo, and S.A. Glantz, Waiting for the opportune moment: the tobacco industry and marijuana legalization. Milbank Q, 2014. 92(2): p. 207-42.</w:t>
      </w:r>
    </w:p>
  </w:footnote>
  <w:footnote w:id="3">
    <w:p w14:paraId="7CB9598A" w14:textId="77777777" w:rsidR="007647B4" w:rsidRPr="007647B4" w:rsidRDefault="007647B4" w:rsidP="00AF6AB0">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EE331A">
        <w:rPr>
          <w:rFonts w:asciiTheme="minorHAnsi" w:hAnsiTheme="minorHAnsi" w:cstheme="minorHAnsi"/>
          <w:color w:val="000000" w:themeColor="text1"/>
          <w:sz w:val="16"/>
          <w:szCs w:val="16"/>
        </w:rPr>
        <w:t>National Academies, The Health Effects of Cannabis and Cannabinoids: The Current State of Evidence and Recommendations for Research. 2017, The National Academies Press: Washington, DC.</w:t>
      </w:r>
    </w:p>
  </w:footnote>
  <w:footnote w:id="4">
    <w:p w14:paraId="57B2C075" w14:textId="77777777" w:rsidR="007647B4" w:rsidRPr="00A47FC2" w:rsidRDefault="007647B4" w:rsidP="00AF6AB0">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EE331A">
        <w:rPr>
          <w:rFonts w:asciiTheme="minorHAnsi" w:hAnsiTheme="minorHAnsi" w:cstheme="minorHAnsi"/>
          <w:color w:val="000000" w:themeColor="text1"/>
          <w:sz w:val="16"/>
          <w:szCs w:val="16"/>
        </w:rPr>
        <w:t>National Academies, The Health Effects of Cannabis and Cannabinoids: The Current State of Evidence and Recommendations for Research. 2017, The National Academies Press: Washington, DC.</w:t>
      </w:r>
    </w:p>
  </w:footnote>
  <w:footnote w:id="5">
    <w:p w14:paraId="689A0345" w14:textId="4672C4D9" w:rsidR="007647B4" w:rsidRPr="007647B4" w:rsidRDefault="007647B4" w:rsidP="008A35D7">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Hasin, D.S., et al., Analyses related to the development of DSM-5 criteria for substance use related disorders: 2. Proposed DSM-5 criteria for alcohol, cannabis, cocaine and heroin disorders in 663 substance abuse patients. Drug Alcohol Depend, 2012. 122(1-2): p. 28-37. </w:t>
      </w:r>
    </w:p>
  </w:footnote>
  <w:footnote w:id="6">
    <w:p w14:paraId="3C48209E" w14:textId="2E4B6F32" w:rsidR="007647B4" w:rsidRPr="007647B4" w:rsidRDefault="007647B4" w:rsidP="00DC1245">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Sewell, R.A., Poling, J. and </w:t>
      </w:r>
      <w:proofErr w:type="spellStart"/>
      <w:r w:rsidRPr="007647B4">
        <w:rPr>
          <w:rFonts w:asciiTheme="minorHAnsi" w:hAnsiTheme="minorHAnsi" w:cstheme="minorHAnsi"/>
          <w:color w:val="000000" w:themeColor="text1"/>
          <w:sz w:val="16"/>
          <w:szCs w:val="16"/>
        </w:rPr>
        <w:t>Sofuoglu</w:t>
      </w:r>
      <w:proofErr w:type="spellEnd"/>
      <w:r w:rsidRPr="007647B4">
        <w:rPr>
          <w:rFonts w:asciiTheme="minorHAnsi" w:hAnsiTheme="minorHAnsi" w:cstheme="minorHAnsi"/>
          <w:color w:val="000000" w:themeColor="text1"/>
          <w:sz w:val="16"/>
          <w:szCs w:val="16"/>
        </w:rPr>
        <w:t>, M. The effect of cannabis compared with alcohol on driving. Am J Addict, 2009. 18(3): p. 185-93.</w:t>
      </w:r>
    </w:p>
  </w:footnote>
  <w:footnote w:id="7">
    <w:p w14:paraId="53427244" w14:textId="5396C418" w:rsidR="007647B4" w:rsidRPr="007647B4" w:rsidRDefault="007647B4" w:rsidP="008A35D7">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National Academies, The Health Effects of Cannabis and Cannabinoids: The Current State of Evidence and Recommendations for Research. 2017, The National Academies Press: Washington, DC. </w:t>
      </w:r>
    </w:p>
  </w:footnote>
  <w:footnote w:id="8">
    <w:p w14:paraId="530327D1" w14:textId="440F94A5" w:rsidR="007647B4" w:rsidRPr="007647B4" w:rsidRDefault="007647B4" w:rsidP="008A35D7">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National Academies, The Health Effects of Cannabis and Cannabinoids: The Current State of Evidence and Recommendations for Research. 2017, The National Academies Press: Washington, DC. </w:t>
      </w:r>
    </w:p>
  </w:footnote>
  <w:footnote w:id="9">
    <w:p w14:paraId="68D7EC3C" w14:textId="15A708F6" w:rsidR="007647B4" w:rsidRPr="00A47FC2"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EE331A">
        <w:rPr>
          <w:rFonts w:asciiTheme="minorHAnsi" w:hAnsiTheme="minorHAnsi" w:cstheme="minorHAnsi"/>
          <w:color w:val="000000" w:themeColor="text1"/>
          <w:sz w:val="16"/>
          <w:szCs w:val="16"/>
        </w:rPr>
        <w:t>Yankey, B.A., et al., Effect of marijuana use on cardiovascular and cerebrovascular mortality: A study using the National Health and Nutrition Examination Survey linked mortality file. Eur J Prev Cardiol, 2017: p. 2047487317723212.</w:t>
      </w:r>
    </w:p>
  </w:footnote>
  <w:footnote w:id="10">
    <w:p w14:paraId="66D7D433" w14:textId="1BA0B829" w:rsidR="007647B4" w:rsidRPr="007647B4" w:rsidRDefault="007647B4" w:rsidP="008A35D7">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National Academies, The Health Effects of Cannabis and Cannabinoids: The Current State of Evidence and Recommendations for Research. 2017, The National Academies Press: Washington, DC. </w:t>
      </w:r>
    </w:p>
  </w:footnote>
  <w:footnote w:id="11">
    <w:p w14:paraId="3ABC42C6" w14:textId="1A17BC55" w:rsidR="007647B4" w:rsidRPr="007647B4"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EE331A">
        <w:rPr>
          <w:rFonts w:asciiTheme="minorHAnsi" w:hAnsiTheme="minorHAnsi" w:cstheme="minorHAnsi"/>
          <w:color w:val="000000" w:themeColor="text1"/>
          <w:sz w:val="16"/>
          <w:szCs w:val="16"/>
        </w:rPr>
        <w:t>Yankey, B.A., et al., Effect of marijuana use on cardiovascular and cerebrovascular mortality: A study using the National Health and Nutrition Examination Survey linked mortality file. Eur J Prev Cardiol, 2017: p. 2047487317723212</w:t>
      </w:r>
    </w:p>
  </w:footnote>
  <w:footnote w:id="12">
    <w:p w14:paraId="343EF062" w14:textId="4D7D8BA1" w:rsidR="007647B4" w:rsidRPr="007647B4"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EE331A">
        <w:rPr>
          <w:rFonts w:asciiTheme="minorHAnsi" w:hAnsiTheme="minorHAnsi" w:cstheme="minorHAnsi"/>
          <w:color w:val="000000" w:themeColor="text1"/>
          <w:sz w:val="16"/>
          <w:szCs w:val="16"/>
        </w:rPr>
        <w:t>Wang, X., et al., One Minute of Marijuana Secondhand Smoke Exposure Substantially Impairs Vascular Endothelial Function. J Am Heart Assoc, 2016. 5(8).</w:t>
      </w:r>
    </w:p>
  </w:footnote>
  <w:footnote w:id="13">
    <w:p w14:paraId="5833346E" w14:textId="31CB7473" w:rsidR="007647B4" w:rsidRPr="00A47FC2"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EE331A">
        <w:rPr>
          <w:rFonts w:asciiTheme="minorHAnsi" w:hAnsiTheme="minorHAnsi" w:cstheme="minorHAnsi"/>
          <w:color w:val="000000" w:themeColor="text1"/>
          <w:sz w:val="16"/>
          <w:szCs w:val="16"/>
        </w:rPr>
        <w:t>Yankey, B.A., et al., Effect of marijuana use on cardiovascular and cerebrovascular mortality: A study using the National Health and Nutrition Examination Survey linked mortality file. Eur J Prev Cardiol, 2017: p. 2047487317723212</w:t>
      </w:r>
    </w:p>
  </w:footnote>
  <w:footnote w:id="14">
    <w:p w14:paraId="7ABF717B" w14:textId="7416EF6E" w:rsidR="007647B4" w:rsidRPr="007647B4" w:rsidRDefault="007647B4" w:rsidP="008A35D7">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Moir, D., et al., A comparison of mainstream and sidestream marijuana and tobacco cigarette smoke produced under two machine smoking conditions. Chem Res Toxicol, 2008. 21(2): p. 494-502.</w:t>
      </w:r>
    </w:p>
  </w:footnote>
  <w:footnote w:id="15">
    <w:p w14:paraId="71DB54AF" w14:textId="7BABDDF4" w:rsidR="007647B4" w:rsidRPr="007647B4" w:rsidRDefault="007647B4" w:rsidP="008A35D7">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California Environmental Protection Agency, Chemicals Known to the State to Cause Cancer or Reproductive Toxicity, Office of Environmental Health Hazard Assessment, Editor. 2017: https://oehha.ca.gov/media/downloads/proposition65/p65single01272017.pdf. </w:t>
      </w:r>
    </w:p>
  </w:footnote>
  <w:footnote w:id="16">
    <w:p w14:paraId="2357DC0A" w14:textId="4B912565" w:rsidR="007647B4" w:rsidRPr="00A47FC2"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EE331A">
        <w:rPr>
          <w:rFonts w:asciiTheme="minorHAnsi" w:hAnsiTheme="minorHAnsi" w:cstheme="minorHAnsi"/>
          <w:color w:val="000000" w:themeColor="text1"/>
          <w:sz w:val="16"/>
          <w:szCs w:val="16"/>
        </w:rPr>
        <w:t>Tomar, R.S., J. Beaumont, and J.C.Y. Hsieh, Evidence on the Carcinogenicity of Marijuana Smoke, California Environmental Protection Agency Office of Environmental Health Hazard Assessment Reproductive and Cancer Hazard Assessment Branch, Editor. 2009.</w:t>
      </w:r>
    </w:p>
  </w:footnote>
  <w:footnote w:id="17">
    <w:p w14:paraId="374B5F16" w14:textId="333E75E2" w:rsidR="007647B4" w:rsidRPr="007647B4"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EE331A">
        <w:rPr>
          <w:rFonts w:asciiTheme="minorHAnsi" w:hAnsiTheme="minorHAnsi" w:cstheme="minorHAnsi"/>
          <w:color w:val="000000" w:themeColor="text1"/>
          <w:sz w:val="16"/>
          <w:szCs w:val="16"/>
        </w:rPr>
        <w:t>Silins E, Horwood LJ, Patton GC, Fergusson DM, Olsson CA, Hutchinson DM, Spry E, Toumbourou JW, Degenhardt L, Swift W, Coffey C, Tait RJ, Letcher P, Copeland J, Mattick RP; Cannabis Cohorts Research Consortium. Young adult sequelae of adolescent cannabis use: an integrative analysis. Lancet Psychiatry. 2014 Sep;1(4):286-93. doi: 10.1016/S2215-0366(14)70307-4. Epub 2014 Sep 10.</w:t>
      </w:r>
    </w:p>
  </w:footnote>
  <w:footnote w:id="18">
    <w:p w14:paraId="23BC17CC" w14:textId="50327BE9" w:rsidR="007647B4" w:rsidRPr="007647B4" w:rsidRDefault="007647B4" w:rsidP="00CA5DFE">
      <w:pPr>
        <w:rPr>
          <w:rFonts w:asciiTheme="minorHAnsi" w:hAnsiTheme="minorHAnsi" w:cstheme="minorHAnsi"/>
          <w:color w:val="000000" w:themeColor="text1"/>
          <w:sz w:val="16"/>
          <w:szCs w:val="16"/>
        </w:rPr>
      </w:pPr>
      <w:r w:rsidRPr="007647B4">
        <w:rPr>
          <w:rStyle w:val="FootnoteReference"/>
          <w:rFonts w:asciiTheme="minorHAnsi" w:hAnsiTheme="minorHAnsi" w:cstheme="minorHAnsi"/>
          <w:color w:val="000000" w:themeColor="text1"/>
          <w:sz w:val="16"/>
          <w:szCs w:val="16"/>
        </w:rPr>
        <w:footnoteRef/>
      </w:r>
      <w:r w:rsidRPr="007647B4">
        <w:rPr>
          <w:rFonts w:asciiTheme="minorHAnsi" w:hAnsiTheme="minorHAnsi" w:cstheme="minorHAnsi"/>
          <w:color w:val="000000" w:themeColor="text1"/>
          <w:sz w:val="16"/>
          <w:szCs w:val="16"/>
        </w:rPr>
        <w:t xml:space="preserve"> Hudak, J. and G. Wallack, Ending the U.S. government's war on medical marijuana research. 2015, Brookings Center for Effective Public Management. </w:t>
      </w:r>
    </w:p>
  </w:footnote>
  <w:footnote w:id="19">
    <w:p w14:paraId="189F2B81" w14:textId="22C48CF2" w:rsidR="007647B4" w:rsidRPr="007647B4" w:rsidRDefault="007647B4" w:rsidP="00CA5DFE">
      <w:pPr>
        <w:rPr>
          <w:rFonts w:asciiTheme="minorHAnsi" w:hAnsiTheme="minorHAnsi" w:cstheme="minorHAnsi"/>
          <w:color w:val="000000" w:themeColor="text1"/>
          <w:sz w:val="16"/>
          <w:szCs w:val="16"/>
        </w:rPr>
      </w:pPr>
      <w:r w:rsidRPr="007647B4">
        <w:rPr>
          <w:rStyle w:val="FootnoteReference"/>
          <w:rFonts w:asciiTheme="minorHAnsi" w:hAnsiTheme="minorHAnsi" w:cstheme="minorHAnsi"/>
          <w:color w:val="000000" w:themeColor="text1"/>
          <w:sz w:val="16"/>
          <w:szCs w:val="16"/>
        </w:rPr>
        <w:footnoteRef/>
      </w:r>
      <w:r w:rsidRPr="007647B4">
        <w:rPr>
          <w:rFonts w:asciiTheme="minorHAnsi" w:hAnsiTheme="minorHAnsi" w:cstheme="minorHAnsi"/>
          <w:color w:val="000000" w:themeColor="text1"/>
          <w:sz w:val="16"/>
          <w:szCs w:val="16"/>
        </w:rPr>
        <w:t xml:space="preserve"> 4. National Academies, The Health Effects of Cannabis and Cannabinoids: The Current State of Evidence and Recommendations for Research. 2017, The National Academies Press: Washington, DC. </w:t>
      </w:r>
    </w:p>
  </w:footnote>
  <w:footnote w:id="20">
    <w:p w14:paraId="3FBE63F5" w14:textId="77777777" w:rsidR="007647B4" w:rsidRPr="007647B4" w:rsidRDefault="007647B4" w:rsidP="00A4255B">
      <w:pPr>
        <w:rPr>
          <w:rFonts w:asciiTheme="minorHAnsi" w:hAnsiTheme="minorHAnsi" w:cstheme="minorHAnsi"/>
          <w:color w:val="000000" w:themeColor="text1"/>
          <w:sz w:val="16"/>
          <w:szCs w:val="16"/>
        </w:rPr>
      </w:pPr>
      <w:r w:rsidRPr="007647B4">
        <w:rPr>
          <w:rStyle w:val="FootnoteReference"/>
          <w:rFonts w:asciiTheme="minorHAnsi" w:hAnsiTheme="minorHAnsi" w:cstheme="minorHAnsi"/>
          <w:color w:val="000000" w:themeColor="text1"/>
          <w:sz w:val="16"/>
          <w:szCs w:val="16"/>
        </w:rPr>
        <w:footnoteRef/>
      </w:r>
      <w:r w:rsidRPr="007647B4">
        <w:rPr>
          <w:rFonts w:asciiTheme="minorHAnsi" w:hAnsiTheme="minorHAnsi" w:cstheme="minorHAnsi"/>
          <w:color w:val="000000" w:themeColor="text1"/>
          <w:sz w:val="16"/>
          <w:szCs w:val="16"/>
        </w:rPr>
        <w:t xml:space="preserve"> Popova, L., et al., Perceived harms and benefits of tobacco, marijuana, and electronic vaporizers among young adults in Colorado: implications for health education and research. Addiction, 2017. </w:t>
      </w:r>
    </w:p>
  </w:footnote>
  <w:footnote w:id="21">
    <w:p w14:paraId="060D8B38" w14:textId="77777777" w:rsidR="007647B4" w:rsidRPr="00A47FC2" w:rsidRDefault="007647B4" w:rsidP="00A4255B">
      <w:pPr>
        <w:pStyle w:val="FootnoteText"/>
        <w:rPr>
          <w:rFonts w:asciiTheme="minorHAnsi" w:hAnsiTheme="minorHAnsi" w:cstheme="minorHAnsi"/>
          <w:color w:val="000000" w:themeColor="text1"/>
          <w:sz w:val="16"/>
        </w:rPr>
      </w:pPr>
      <w:r w:rsidRPr="00D32EBA">
        <w:rPr>
          <w:rStyle w:val="FootnoteReference"/>
          <w:rFonts w:asciiTheme="minorHAnsi" w:hAnsiTheme="minorHAnsi" w:cstheme="minorHAnsi"/>
          <w:color w:val="000000" w:themeColor="text1"/>
          <w:sz w:val="16"/>
          <w:szCs w:val="16"/>
        </w:rPr>
        <w:footnoteRef/>
      </w:r>
      <w:r w:rsidRPr="00D32EBA">
        <w:rPr>
          <w:rFonts w:asciiTheme="minorHAnsi" w:hAnsiTheme="minorHAnsi" w:cstheme="minorHAnsi"/>
          <w:color w:val="000000" w:themeColor="text1"/>
          <w:sz w:val="16"/>
          <w:szCs w:val="16"/>
        </w:rPr>
        <w:t xml:space="preserve"> </w:t>
      </w:r>
      <w:r w:rsidRPr="00EE331A">
        <w:rPr>
          <w:rFonts w:asciiTheme="minorHAnsi" w:hAnsiTheme="minorHAnsi" w:cstheme="minorHAnsi"/>
          <w:color w:val="000000" w:themeColor="text1"/>
          <w:sz w:val="16"/>
          <w:szCs w:val="16"/>
        </w:rPr>
        <w:t xml:space="preserve">Merry Jane. 6 Healthy Ways </w:t>
      </w:r>
      <w:proofErr w:type="gramStart"/>
      <w:r w:rsidRPr="00EE331A">
        <w:rPr>
          <w:rFonts w:asciiTheme="minorHAnsi" w:hAnsiTheme="minorHAnsi" w:cstheme="minorHAnsi"/>
          <w:color w:val="000000" w:themeColor="text1"/>
          <w:sz w:val="16"/>
          <w:szCs w:val="16"/>
        </w:rPr>
        <w:t>To</w:t>
      </w:r>
      <w:proofErr w:type="gramEnd"/>
      <w:r w:rsidRPr="00EE331A">
        <w:rPr>
          <w:rFonts w:asciiTheme="minorHAnsi" w:hAnsiTheme="minorHAnsi" w:cstheme="minorHAnsi"/>
          <w:color w:val="000000" w:themeColor="text1"/>
          <w:sz w:val="16"/>
          <w:szCs w:val="16"/>
        </w:rPr>
        <w:t xml:space="preserve"> Consume Cannabis. 2015 [cited 2017 August 28, 2017]; Available from: https://merryjane.com/culture/6-healthy-ways-toconsume-cannabis.</w:t>
      </w:r>
    </w:p>
  </w:footnote>
  <w:footnote w:id="22">
    <w:p w14:paraId="50A29552" w14:textId="77777777" w:rsidR="007647B4" w:rsidRPr="00EE331A" w:rsidRDefault="007647B4" w:rsidP="00A4255B">
      <w:pPr>
        <w:pStyle w:val="FootnoteText"/>
        <w:rPr>
          <w:rFonts w:asciiTheme="minorHAnsi" w:hAnsiTheme="minorHAnsi" w:cstheme="minorHAnsi"/>
          <w:color w:val="000000" w:themeColor="text1"/>
          <w:sz w:val="16"/>
        </w:rPr>
      </w:pPr>
      <w:r w:rsidRPr="00D32EBA">
        <w:rPr>
          <w:rStyle w:val="FootnoteReference"/>
          <w:rFonts w:asciiTheme="minorHAnsi" w:hAnsiTheme="minorHAnsi" w:cstheme="minorHAnsi"/>
          <w:color w:val="000000" w:themeColor="text1"/>
          <w:sz w:val="16"/>
        </w:rPr>
        <w:footnoteRef/>
      </w:r>
      <w:r w:rsidRPr="00D32EBA">
        <w:rPr>
          <w:rFonts w:asciiTheme="minorHAnsi" w:hAnsiTheme="minorHAnsi" w:cstheme="minorHAnsi"/>
          <w:color w:val="000000" w:themeColor="text1"/>
          <w:sz w:val="16"/>
        </w:rPr>
        <w:t xml:space="preserve"> </w:t>
      </w:r>
      <w:r w:rsidRPr="00EE331A">
        <w:rPr>
          <w:rFonts w:asciiTheme="minorHAnsi" w:hAnsiTheme="minorHAnsi" w:cstheme="minorHAnsi"/>
          <w:color w:val="000000" w:themeColor="text1"/>
          <w:sz w:val="16"/>
        </w:rPr>
        <w:t>Giroud, C., et al., E-Cigarettes: A Review of New Trends in Cannabis Use. Int J Environ Res Public Health, 2015. 12(8): p. 9988-10008.</w:t>
      </w:r>
    </w:p>
  </w:footnote>
  <w:footnote w:id="23">
    <w:p w14:paraId="08474A8D" w14:textId="0EEE7968" w:rsidR="007647B4" w:rsidRPr="007647B4" w:rsidRDefault="007647B4" w:rsidP="00A4255B">
      <w:pPr>
        <w:rPr>
          <w:rFonts w:asciiTheme="minorHAnsi" w:hAnsiTheme="minorHAnsi" w:cstheme="minorHAnsi"/>
          <w:color w:val="000000" w:themeColor="text1"/>
          <w:sz w:val="16"/>
          <w:szCs w:val="16"/>
        </w:rPr>
      </w:pPr>
      <w:r w:rsidRPr="007647B4">
        <w:rPr>
          <w:rStyle w:val="FootnoteReference"/>
          <w:rFonts w:asciiTheme="minorHAnsi" w:hAnsiTheme="minorHAnsi" w:cstheme="minorHAnsi"/>
          <w:color w:val="000000" w:themeColor="text1"/>
          <w:sz w:val="16"/>
          <w:szCs w:val="16"/>
        </w:rPr>
        <w:footnoteRef/>
      </w:r>
      <w:r w:rsidRPr="007647B4">
        <w:rPr>
          <w:rFonts w:asciiTheme="minorHAnsi" w:hAnsiTheme="minorHAnsi" w:cstheme="minorHAnsi"/>
          <w:color w:val="000000" w:themeColor="text1"/>
          <w:sz w:val="16"/>
          <w:szCs w:val="16"/>
        </w:rPr>
        <w:t>Bhatnagar, A., E-Cigarettes and Cardiovascular Disease Risk: Evaluation of Evidence, Policy Implications, and Recommendations. Current Cardiovascular Risk Reports, 2016. 10(24): p. 1-10.</w:t>
      </w:r>
    </w:p>
  </w:footnote>
  <w:footnote w:id="24">
    <w:p w14:paraId="3203BBF2" w14:textId="77777777" w:rsidR="007647B4" w:rsidRPr="007647B4" w:rsidRDefault="007647B4" w:rsidP="00A4255B">
      <w:pPr>
        <w:rPr>
          <w:rFonts w:asciiTheme="minorHAnsi" w:hAnsiTheme="minorHAnsi" w:cstheme="minorHAnsi"/>
          <w:color w:val="000000" w:themeColor="text1"/>
          <w:sz w:val="16"/>
          <w:szCs w:val="16"/>
        </w:rPr>
      </w:pPr>
      <w:r w:rsidRPr="007647B4">
        <w:rPr>
          <w:rStyle w:val="FootnoteReference"/>
          <w:rFonts w:asciiTheme="minorHAnsi" w:hAnsiTheme="minorHAnsi" w:cstheme="minorHAnsi"/>
          <w:color w:val="000000" w:themeColor="text1"/>
          <w:sz w:val="16"/>
          <w:szCs w:val="16"/>
        </w:rPr>
        <w:footnoteRef/>
      </w:r>
      <w:r w:rsidRPr="007647B4">
        <w:rPr>
          <w:rFonts w:asciiTheme="minorHAnsi" w:hAnsiTheme="minorHAnsi" w:cstheme="minorHAnsi"/>
          <w:color w:val="000000" w:themeColor="text1"/>
          <w:sz w:val="16"/>
          <w:szCs w:val="16"/>
        </w:rPr>
        <w:t xml:space="preserve"> 17. Canistro, D., et al., E-cigarettes induce toxicological effects that can raise the cancer risk. Sci Rep, 2017. 7(1): p. 2028. </w:t>
      </w:r>
    </w:p>
  </w:footnote>
  <w:footnote w:id="25">
    <w:p w14:paraId="544DF9A5" w14:textId="4F4F4C89" w:rsidR="007647B4" w:rsidRPr="007647B4" w:rsidRDefault="007647B4" w:rsidP="00A4255B">
      <w:pPr>
        <w:rPr>
          <w:rFonts w:asciiTheme="minorHAnsi" w:hAnsiTheme="minorHAnsi" w:cstheme="minorHAnsi"/>
          <w:color w:val="000000" w:themeColor="text1"/>
          <w:sz w:val="16"/>
          <w:szCs w:val="16"/>
        </w:rPr>
      </w:pPr>
      <w:r w:rsidRPr="007647B4">
        <w:rPr>
          <w:rStyle w:val="FootnoteReference"/>
          <w:rFonts w:asciiTheme="minorHAnsi" w:hAnsiTheme="minorHAnsi" w:cstheme="minorHAnsi"/>
          <w:color w:val="000000" w:themeColor="text1"/>
          <w:sz w:val="16"/>
          <w:szCs w:val="16"/>
        </w:rPr>
        <w:footnoteRef/>
      </w:r>
      <w:r w:rsidRPr="007647B4">
        <w:rPr>
          <w:rFonts w:asciiTheme="minorHAnsi" w:hAnsiTheme="minorHAnsi" w:cstheme="minorHAnsi"/>
          <w:color w:val="000000" w:themeColor="text1"/>
          <w:sz w:val="16"/>
          <w:szCs w:val="16"/>
        </w:rPr>
        <w:t xml:space="preserve"> Chun, L.F., et al., Pulmonary toxicity of e-cigarettes. Am J Physiol Lung Cell Mol Physiol, 2017. 313(2): p. L193-L206. </w:t>
      </w:r>
    </w:p>
  </w:footnote>
  <w:footnote w:id="26">
    <w:p w14:paraId="4E6F1AC3" w14:textId="77777777" w:rsidR="007647B4" w:rsidRPr="00A47FC2" w:rsidRDefault="007647B4" w:rsidP="00A4255B">
      <w:pPr>
        <w:pStyle w:val="FootnoteText"/>
        <w:rPr>
          <w:rFonts w:asciiTheme="minorHAnsi" w:hAnsiTheme="minorHAnsi" w:cstheme="minorHAnsi"/>
          <w:color w:val="000000" w:themeColor="text1"/>
          <w:sz w:val="16"/>
        </w:rPr>
      </w:pPr>
      <w:r w:rsidRPr="00D32EBA">
        <w:rPr>
          <w:rStyle w:val="FootnoteReference"/>
          <w:rFonts w:asciiTheme="minorHAnsi" w:hAnsiTheme="minorHAnsi" w:cstheme="minorHAnsi"/>
          <w:color w:val="000000" w:themeColor="text1"/>
          <w:sz w:val="16"/>
          <w:szCs w:val="16"/>
        </w:rPr>
        <w:footnoteRef/>
      </w:r>
      <w:r w:rsidRPr="00D32EBA">
        <w:rPr>
          <w:rFonts w:asciiTheme="minorHAnsi" w:hAnsiTheme="minorHAnsi" w:cstheme="minorHAnsi"/>
          <w:color w:val="000000" w:themeColor="text1"/>
          <w:sz w:val="16"/>
          <w:szCs w:val="16"/>
        </w:rPr>
        <w:t xml:space="preserve"> </w:t>
      </w:r>
      <w:r w:rsidRPr="00EE331A">
        <w:rPr>
          <w:rFonts w:asciiTheme="minorHAnsi" w:hAnsiTheme="minorHAnsi" w:cstheme="minorHAnsi"/>
          <w:color w:val="000000" w:themeColor="text1"/>
          <w:sz w:val="16"/>
          <w:szCs w:val="16"/>
        </w:rPr>
        <w:t>Pope, C.A., 3rd, et al., Cardiovascular mortality and exposure to airborne fine particulate matter and cigarette smoke: shape of the exposure-response relationship. Circulation, 2009. 120(11): p. 941-8.</w:t>
      </w:r>
    </w:p>
  </w:footnote>
  <w:footnote w:id="27">
    <w:p w14:paraId="1762934B" w14:textId="77777777" w:rsidR="007647B4" w:rsidRPr="00EE331A" w:rsidRDefault="007647B4" w:rsidP="00A4255B">
      <w:pPr>
        <w:pStyle w:val="FootnoteText"/>
        <w:rPr>
          <w:rFonts w:asciiTheme="minorHAnsi" w:hAnsiTheme="minorHAnsi" w:cstheme="minorHAnsi"/>
          <w:color w:val="000000" w:themeColor="text1"/>
          <w:sz w:val="16"/>
          <w:szCs w:val="16"/>
        </w:rPr>
      </w:pPr>
      <w:r w:rsidRPr="00D32EBA">
        <w:rPr>
          <w:rStyle w:val="FootnoteReference"/>
          <w:rFonts w:asciiTheme="minorHAnsi" w:hAnsiTheme="minorHAnsi" w:cstheme="minorHAnsi"/>
          <w:color w:val="000000" w:themeColor="text1"/>
          <w:sz w:val="16"/>
          <w:szCs w:val="16"/>
        </w:rPr>
        <w:footnoteRef/>
      </w:r>
      <w:r w:rsidRPr="00D32EBA">
        <w:rPr>
          <w:rFonts w:asciiTheme="minorHAnsi" w:hAnsiTheme="minorHAnsi" w:cstheme="minorHAnsi"/>
          <w:color w:val="000000" w:themeColor="text1"/>
          <w:sz w:val="16"/>
          <w:szCs w:val="16"/>
        </w:rPr>
        <w:t xml:space="preserve"> </w:t>
      </w:r>
      <w:r w:rsidRPr="00EE331A">
        <w:rPr>
          <w:rFonts w:asciiTheme="minorHAnsi" w:hAnsiTheme="minorHAnsi" w:cstheme="minorHAnsi"/>
          <w:color w:val="000000" w:themeColor="text1"/>
          <w:sz w:val="16"/>
          <w:szCs w:val="16"/>
        </w:rPr>
        <w:t>Loflin, M. and M. Earleywine, A new method of cannabis ingestion: the dangers of dabs? Addict Behav, 2014. 39(10): p. 1430-3.</w:t>
      </w:r>
    </w:p>
  </w:footnote>
  <w:footnote w:id="28">
    <w:p w14:paraId="3BB95FAA" w14:textId="77777777" w:rsidR="007647B4" w:rsidRPr="007647B4" w:rsidRDefault="007647B4" w:rsidP="00A4255B">
      <w:pPr>
        <w:rPr>
          <w:rFonts w:asciiTheme="minorHAnsi" w:hAnsiTheme="minorHAnsi" w:cstheme="minorHAnsi"/>
          <w:color w:val="000000" w:themeColor="text1"/>
          <w:sz w:val="16"/>
          <w:szCs w:val="16"/>
        </w:rPr>
      </w:pPr>
      <w:r w:rsidRPr="007647B4">
        <w:rPr>
          <w:rStyle w:val="FootnoteReference"/>
          <w:rFonts w:asciiTheme="minorHAnsi" w:hAnsiTheme="minorHAnsi" w:cstheme="minorHAnsi"/>
          <w:color w:val="000000" w:themeColor="text1"/>
          <w:sz w:val="16"/>
          <w:szCs w:val="16"/>
        </w:rPr>
        <w:footnoteRef/>
      </w:r>
      <w:r w:rsidRPr="007647B4">
        <w:rPr>
          <w:rFonts w:asciiTheme="minorHAnsi" w:hAnsiTheme="minorHAnsi" w:cstheme="minorHAnsi"/>
          <w:color w:val="000000" w:themeColor="text1"/>
          <w:sz w:val="16"/>
          <w:szCs w:val="16"/>
        </w:rPr>
        <w:t xml:space="preserve"> Wilcox, A., Vaping vs. Dabbing: Why You Should Care About Heat. 2016: </w:t>
      </w:r>
      <w:hyperlink r:id="rId1" w:history="1">
        <w:r w:rsidRPr="007647B4">
          <w:rPr>
            <w:rStyle w:val="Hyperlink"/>
            <w:rFonts w:asciiTheme="minorHAnsi" w:hAnsiTheme="minorHAnsi" w:cstheme="minorHAnsi"/>
            <w:color w:val="000000" w:themeColor="text1"/>
            <w:sz w:val="16"/>
            <w:szCs w:val="16"/>
          </w:rPr>
          <w:t>https://www.leafly.com/news/cannabis-101/vaping-versus-dabbing-why-youshould-care-about-heat</w:t>
        </w:r>
      </w:hyperlink>
      <w:r w:rsidRPr="007647B4">
        <w:rPr>
          <w:rFonts w:asciiTheme="minorHAnsi" w:hAnsiTheme="minorHAnsi" w:cstheme="minorHAnsi"/>
          <w:color w:val="000000" w:themeColor="text1"/>
          <w:sz w:val="16"/>
          <w:szCs w:val="16"/>
        </w:rPr>
        <w:t xml:space="preserve">. </w:t>
      </w:r>
    </w:p>
  </w:footnote>
  <w:footnote w:id="29">
    <w:p w14:paraId="5197D82B" w14:textId="77777777" w:rsidR="007647B4" w:rsidRPr="007647B4" w:rsidRDefault="007647B4" w:rsidP="00A4255B">
      <w:pPr>
        <w:rPr>
          <w:rFonts w:asciiTheme="minorHAnsi" w:hAnsiTheme="minorHAnsi" w:cstheme="minorHAnsi"/>
          <w:color w:val="000000" w:themeColor="text1"/>
          <w:sz w:val="16"/>
          <w:szCs w:val="16"/>
        </w:rPr>
      </w:pPr>
      <w:r w:rsidRPr="007647B4">
        <w:rPr>
          <w:rStyle w:val="FootnoteReference"/>
          <w:rFonts w:asciiTheme="minorHAnsi" w:hAnsiTheme="minorHAnsi" w:cstheme="minorHAnsi"/>
          <w:color w:val="000000" w:themeColor="text1"/>
          <w:sz w:val="16"/>
          <w:szCs w:val="16"/>
        </w:rPr>
        <w:footnoteRef/>
      </w:r>
      <w:r w:rsidRPr="007647B4">
        <w:rPr>
          <w:rFonts w:asciiTheme="minorHAnsi" w:hAnsiTheme="minorHAnsi" w:cstheme="minorHAnsi"/>
          <w:color w:val="000000" w:themeColor="text1"/>
          <w:sz w:val="16"/>
          <w:szCs w:val="16"/>
        </w:rPr>
        <w:t xml:space="preserve"> Meehan-Atrash, J.M., W. Luo, and R.M. Strongin, Toxicant Formation in Dabbing: The Terpene Story. ACS Omega, 2017. 2(9): p. 6112-6117. </w:t>
      </w:r>
    </w:p>
  </w:footnote>
  <w:footnote w:id="30">
    <w:p w14:paraId="494CDA8A" w14:textId="77777777" w:rsidR="007647B4" w:rsidRPr="007647B4" w:rsidRDefault="007647B4" w:rsidP="00A4255B">
      <w:pPr>
        <w:rPr>
          <w:rFonts w:asciiTheme="minorHAnsi" w:hAnsiTheme="minorHAnsi" w:cstheme="minorHAnsi"/>
          <w:color w:val="000000" w:themeColor="text1"/>
          <w:sz w:val="16"/>
          <w:szCs w:val="16"/>
        </w:rPr>
      </w:pPr>
      <w:r w:rsidRPr="007647B4">
        <w:rPr>
          <w:rStyle w:val="FootnoteReference"/>
          <w:rFonts w:asciiTheme="minorHAnsi" w:hAnsiTheme="minorHAnsi" w:cstheme="minorHAnsi"/>
          <w:color w:val="000000" w:themeColor="text1"/>
          <w:sz w:val="16"/>
          <w:szCs w:val="16"/>
        </w:rPr>
        <w:footnoteRef/>
      </w:r>
      <w:r w:rsidRPr="007647B4">
        <w:rPr>
          <w:rFonts w:asciiTheme="minorHAnsi" w:hAnsiTheme="minorHAnsi" w:cstheme="minorHAnsi"/>
          <w:color w:val="000000" w:themeColor="text1"/>
          <w:sz w:val="16"/>
          <w:szCs w:val="16"/>
        </w:rPr>
        <w:t xml:space="preserve"> Allen, J.A., et al., New product trial, use of edibles, and unexpected highs among marijuana and hashish users in Colorado. Drug Alcohol Depend, 2017. 176: p. 44-47. </w:t>
      </w:r>
    </w:p>
  </w:footnote>
  <w:footnote w:id="31">
    <w:p w14:paraId="2468AFB5" w14:textId="77777777" w:rsidR="007647B4" w:rsidRPr="00EE331A" w:rsidRDefault="007647B4" w:rsidP="00A4255B">
      <w:pPr>
        <w:pStyle w:val="FootnoteText"/>
        <w:rPr>
          <w:rFonts w:asciiTheme="minorHAnsi" w:hAnsiTheme="minorHAnsi" w:cstheme="minorHAnsi"/>
          <w:color w:val="000000" w:themeColor="text1"/>
          <w:sz w:val="16"/>
        </w:rPr>
      </w:pPr>
      <w:r w:rsidRPr="00D32EBA">
        <w:rPr>
          <w:rStyle w:val="FootnoteReference"/>
          <w:rFonts w:asciiTheme="minorHAnsi" w:hAnsiTheme="minorHAnsi" w:cstheme="minorHAnsi"/>
          <w:color w:val="000000" w:themeColor="text1"/>
          <w:sz w:val="16"/>
          <w:szCs w:val="16"/>
        </w:rPr>
        <w:footnoteRef/>
      </w:r>
      <w:r w:rsidRPr="00D32EBA">
        <w:rPr>
          <w:rFonts w:asciiTheme="minorHAnsi" w:hAnsiTheme="minorHAnsi" w:cstheme="minorHAnsi"/>
          <w:color w:val="000000" w:themeColor="text1"/>
          <w:sz w:val="16"/>
          <w:szCs w:val="16"/>
        </w:rPr>
        <w:t xml:space="preserve"> Wang, G.S., et al., Unintentional Pediatric Exposures to Marijuana in Colorado, 2009-2015. JAMA Pediatr, 2016. 170(9): p. e160971</w:t>
      </w:r>
    </w:p>
  </w:footnote>
  <w:footnote w:id="32">
    <w:p w14:paraId="5A1E8483" w14:textId="0FCCF164" w:rsidR="007647B4" w:rsidRPr="00A47FC2" w:rsidRDefault="007647B4">
      <w:pPr>
        <w:pStyle w:val="FootnoteText"/>
        <w:rPr>
          <w:rFonts w:asciiTheme="minorHAnsi" w:hAnsiTheme="minorHAnsi" w:cstheme="minorHAnsi"/>
          <w:color w:val="000000" w:themeColor="text1"/>
          <w:sz w:val="16"/>
          <w:szCs w:val="16"/>
        </w:rPr>
      </w:pPr>
      <w:r w:rsidRPr="00D32EBA">
        <w:rPr>
          <w:rStyle w:val="FootnoteReference"/>
          <w:rFonts w:asciiTheme="minorHAnsi" w:hAnsiTheme="minorHAnsi" w:cstheme="minorHAnsi"/>
          <w:color w:val="000000" w:themeColor="text1"/>
          <w:sz w:val="16"/>
        </w:rPr>
        <w:footnoteRef/>
      </w:r>
      <w:r w:rsidRPr="00D32EBA">
        <w:rPr>
          <w:rFonts w:asciiTheme="minorHAnsi" w:hAnsiTheme="minorHAnsi" w:cstheme="minorHAnsi"/>
          <w:color w:val="000000" w:themeColor="text1"/>
          <w:sz w:val="16"/>
        </w:rPr>
        <w:t xml:space="preserve"> </w:t>
      </w:r>
      <w:r w:rsidRPr="00EE331A">
        <w:rPr>
          <w:rFonts w:asciiTheme="minorHAnsi" w:hAnsiTheme="minorHAnsi" w:cstheme="minorHAnsi"/>
          <w:color w:val="000000" w:themeColor="text1"/>
          <w:sz w:val="16"/>
          <w:szCs w:val="16"/>
        </w:rPr>
        <w:t>Barry, R.A. and S. Glantz, A Public Health Framework for Legalized Retail Marijuana Based on the US Experience: Avoiding a New Tobacco Industry. PLoS Med, 2016. 13(9): p. e1002131.</w:t>
      </w:r>
    </w:p>
  </w:footnote>
  <w:footnote w:id="33">
    <w:p w14:paraId="48647A36" w14:textId="77777777" w:rsidR="007647B4" w:rsidRPr="007647B4" w:rsidRDefault="007647B4" w:rsidP="00BA3ED8">
      <w:pPr>
        <w:rPr>
          <w:rFonts w:asciiTheme="minorHAnsi" w:hAnsiTheme="minorHAnsi" w:cstheme="minorHAnsi"/>
          <w:color w:val="000000" w:themeColor="text1"/>
          <w:sz w:val="16"/>
          <w:szCs w:val="16"/>
        </w:rPr>
      </w:pPr>
      <w:r w:rsidRPr="007647B4">
        <w:rPr>
          <w:rStyle w:val="FootnoteReference"/>
          <w:rFonts w:asciiTheme="minorHAnsi" w:hAnsiTheme="minorHAnsi" w:cstheme="minorHAnsi"/>
          <w:color w:val="000000" w:themeColor="text1"/>
          <w:sz w:val="16"/>
          <w:szCs w:val="16"/>
        </w:rPr>
        <w:footnoteRef/>
      </w:r>
      <w:r w:rsidRPr="007647B4">
        <w:rPr>
          <w:rFonts w:asciiTheme="minorHAnsi" w:hAnsiTheme="minorHAnsi" w:cstheme="minorHAnsi"/>
          <w:color w:val="000000" w:themeColor="text1"/>
          <w:sz w:val="16"/>
          <w:szCs w:val="16"/>
        </w:rPr>
        <w:t xml:space="preserve"> Pacula, R.L., et al., Developing public health regulations for marijuana: lessons from alcohol and tobacco. Am J Public Health, 2014. 104(6): p. 1021-8. </w:t>
      </w:r>
    </w:p>
    <w:p w14:paraId="2CBFCF8A" w14:textId="1D726FAD" w:rsidR="007647B4" w:rsidRDefault="007647B4">
      <w:pPr>
        <w:pStyle w:val="FootnoteText"/>
      </w:pPr>
    </w:p>
  </w:footnote>
  <w:footnote w:id="34">
    <w:p w14:paraId="3C48CE85" w14:textId="77DE2A17" w:rsidR="007647B4" w:rsidRDefault="007647B4">
      <w:pPr>
        <w:pStyle w:val="FootnoteText"/>
      </w:pPr>
      <w:r>
        <w:rPr>
          <w:rStyle w:val="FootnoteReference"/>
        </w:rPr>
        <w:footnoteRef/>
      </w:r>
      <w:r>
        <w:t xml:space="preserve"> </w:t>
      </w:r>
      <w:r w:rsidRPr="00E4487A">
        <w:rPr>
          <w:rFonts w:cstheme="minorHAnsi"/>
          <w:sz w:val="16"/>
          <w:szCs w:val="16"/>
        </w:rPr>
        <w:t>Kessler, G. Amended Final Opinion in US. V Philip Morris USA Inc.</w:t>
      </w:r>
      <w:r>
        <w:rPr>
          <w:rFonts w:cstheme="minorHAnsi"/>
          <w:sz w:val="16"/>
          <w:szCs w:val="16"/>
        </w:rPr>
        <w:t xml:space="preserve"> </w:t>
      </w:r>
      <w:r w:rsidRPr="00E4487A">
        <w:rPr>
          <w:rFonts w:cstheme="minorHAnsi"/>
          <w:sz w:val="16"/>
          <w:szCs w:val="16"/>
        </w:rPr>
        <w:t xml:space="preserve">United States District Court for the District of Columbia. Civil Action No. 99-2496 (GK) </w:t>
      </w:r>
      <w:r w:rsidRPr="00E4487A">
        <w:rPr>
          <w:rFonts w:cstheme="minorHAnsi"/>
          <w:color w:val="000000"/>
          <w:sz w:val="16"/>
          <w:szCs w:val="16"/>
          <w:shd w:val="clear" w:color="auto" w:fill="FFFFFF"/>
        </w:rPr>
        <w:t>449 F.Supp.2d 1 (D.D.C. 2006)</w:t>
      </w:r>
    </w:p>
  </w:footnote>
  <w:footnote w:id="35">
    <w:p w14:paraId="422C86BE" w14:textId="101BEBAF" w:rsidR="007647B4" w:rsidRPr="00E4487A" w:rsidRDefault="007647B4" w:rsidP="004F0418">
      <w:pPr>
        <w:rPr>
          <w:rFonts w:cstheme="minorHAnsi"/>
          <w:sz w:val="16"/>
          <w:szCs w:val="16"/>
        </w:rPr>
      </w:pPr>
    </w:p>
  </w:footnote>
  <w:footnote w:id="36">
    <w:p w14:paraId="50E79312" w14:textId="77777777" w:rsidR="007647B4" w:rsidRPr="007647B4" w:rsidRDefault="007647B4" w:rsidP="006613D7">
      <w:pPr>
        <w:rPr>
          <w:rFonts w:asciiTheme="minorHAnsi" w:hAnsiTheme="minorHAnsi" w:cstheme="minorHAnsi"/>
          <w:color w:val="000000" w:themeColor="text1"/>
          <w:sz w:val="16"/>
        </w:rPr>
      </w:pPr>
      <w:r w:rsidRPr="007647B4">
        <w:rPr>
          <w:rStyle w:val="FootnoteReference"/>
          <w:rFonts w:asciiTheme="minorHAnsi" w:hAnsiTheme="minorHAnsi" w:cstheme="minorHAnsi"/>
          <w:color w:val="000000" w:themeColor="text1"/>
          <w:sz w:val="16"/>
        </w:rPr>
        <w:footnoteRef/>
      </w:r>
      <w:r w:rsidRPr="007647B4">
        <w:rPr>
          <w:rFonts w:asciiTheme="minorHAnsi" w:hAnsiTheme="minorHAnsi" w:cstheme="minorHAnsi"/>
          <w:color w:val="000000" w:themeColor="text1"/>
          <w:sz w:val="16"/>
        </w:rPr>
        <w:t xml:space="preserve"> Alzghari S K, Fung V, Rickner S S, et al. (September 11, 2017) To Dab or Not to Dab: Rising Concerns Regarding the Toxicity of Cannabis Concentrates. Cureus 9(9): e1676. DOI 10.7759/cureus.1676</w:t>
      </w:r>
    </w:p>
  </w:footnote>
  <w:footnote w:id="37">
    <w:p w14:paraId="4139F613" w14:textId="1B7C3684" w:rsidR="007647B4" w:rsidRPr="007647B4" w:rsidRDefault="007647B4" w:rsidP="004F0418">
      <w:pPr>
        <w:rPr>
          <w:rFonts w:asciiTheme="minorHAnsi" w:hAnsiTheme="minorHAnsi" w:cstheme="minorHAnsi"/>
          <w:color w:val="000000" w:themeColor="text1"/>
          <w:sz w:val="16"/>
          <w:szCs w:val="16"/>
        </w:rPr>
      </w:pPr>
      <w:r w:rsidRPr="007647B4">
        <w:rPr>
          <w:rStyle w:val="FootnoteReference"/>
          <w:rFonts w:asciiTheme="minorHAnsi" w:hAnsiTheme="minorHAnsi" w:cstheme="minorHAnsi"/>
          <w:color w:val="000000" w:themeColor="text1"/>
          <w:sz w:val="16"/>
          <w:szCs w:val="16"/>
        </w:rPr>
        <w:footnoteRef/>
      </w:r>
      <w:r w:rsidRPr="007647B4">
        <w:rPr>
          <w:rFonts w:asciiTheme="minorHAnsi" w:hAnsiTheme="minorHAnsi" w:cstheme="minorHAnsi"/>
          <w:color w:val="000000" w:themeColor="text1"/>
          <w:sz w:val="16"/>
          <w:szCs w:val="16"/>
        </w:rPr>
        <w:t xml:space="preserve"> </w:t>
      </w:r>
      <w:r w:rsidRPr="007647B4">
        <w:rPr>
          <w:rStyle w:val="hlfld-contribauthor"/>
          <w:rFonts w:asciiTheme="minorHAnsi" w:hAnsiTheme="minorHAnsi" w:cstheme="minorHAnsi"/>
          <w:color w:val="000000" w:themeColor="text1"/>
          <w:sz w:val="16"/>
          <w:szCs w:val="16"/>
        </w:rPr>
        <w:t>El Sohly, </w:t>
      </w:r>
      <w:r w:rsidRPr="007647B4">
        <w:rPr>
          <w:rStyle w:val="nlmgiven-names"/>
          <w:rFonts w:asciiTheme="minorHAnsi" w:hAnsiTheme="minorHAnsi" w:cstheme="minorHAnsi"/>
          <w:color w:val="000000" w:themeColor="text1"/>
          <w:sz w:val="16"/>
          <w:szCs w:val="16"/>
        </w:rPr>
        <w:t>M. A.</w:t>
      </w:r>
      <w:r w:rsidRPr="007647B4">
        <w:rPr>
          <w:rFonts w:asciiTheme="minorHAnsi" w:hAnsiTheme="minorHAnsi" w:cstheme="minorHAnsi"/>
          <w:color w:val="000000" w:themeColor="text1"/>
          <w:sz w:val="16"/>
          <w:szCs w:val="16"/>
        </w:rPr>
        <w:t>, </w:t>
      </w:r>
      <w:proofErr w:type="spellStart"/>
      <w:r w:rsidRPr="007647B4">
        <w:rPr>
          <w:rStyle w:val="hlfld-contribauthor"/>
          <w:rFonts w:asciiTheme="minorHAnsi" w:hAnsiTheme="minorHAnsi" w:cstheme="minorHAnsi"/>
          <w:color w:val="000000" w:themeColor="text1"/>
          <w:sz w:val="16"/>
          <w:szCs w:val="16"/>
        </w:rPr>
        <w:t>Mehmedic</w:t>
      </w:r>
      <w:proofErr w:type="spellEnd"/>
      <w:r w:rsidRPr="007647B4">
        <w:rPr>
          <w:rStyle w:val="hlfld-contribauthor"/>
          <w:rFonts w:asciiTheme="minorHAnsi" w:hAnsiTheme="minorHAnsi" w:cstheme="minorHAnsi"/>
          <w:color w:val="000000" w:themeColor="text1"/>
          <w:sz w:val="16"/>
          <w:szCs w:val="16"/>
        </w:rPr>
        <w:t>, </w:t>
      </w:r>
      <w:r w:rsidRPr="007647B4">
        <w:rPr>
          <w:rStyle w:val="nlmgiven-names"/>
          <w:rFonts w:asciiTheme="minorHAnsi" w:hAnsiTheme="minorHAnsi" w:cstheme="minorHAnsi"/>
          <w:color w:val="000000" w:themeColor="text1"/>
          <w:sz w:val="16"/>
          <w:szCs w:val="16"/>
        </w:rPr>
        <w:t>Z.</w:t>
      </w:r>
      <w:r w:rsidRPr="007647B4">
        <w:rPr>
          <w:rFonts w:asciiTheme="minorHAnsi" w:hAnsiTheme="minorHAnsi" w:cstheme="minorHAnsi"/>
          <w:color w:val="000000" w:themeColor="text1"/>
          <w:sz w:val="16"/>
          <w:szCs w:val="16"/>
        </w:rPr>
        <w:t>, </w:t>
      </w:r>
      <w:r w:rsidRPr="007647B4">
        <w:rPr>
          <w:rStyle w:val="hlfld-contribauthor"/>
          <w:rFonts w:asciiTheme="minorHAnsi" w:hAnsiTheme="minorHAnsi" w:cstheme="minorHAnsi"/>
          <w:color w:val="000000" w:themeColor="text1"/>
          <w:sz w:val="16"/>
          <w:szCs w:val="16"/>
        </w:rPr>
        <w:t>Foster, </w:t>
      </w:r>
      <w:r w:rsidRPr="007647B4">
        <w:rPr>
          <w:rStyle w:val="nlmgiven-names"/>
          <w:rFonts w:asciiTheme="minorHAnsi" w:hAnsiTheme="minorHAnsi" w:cstheme="minorHAnsi"/>
          <w:color w:val="000000" w:themeColor="text1"/>
          <w:sz w:val="16"/>
          <w:szCs w:val="16"/>
        </w:rPr>
        <w:t>S.</w:t>
      </w:r>
      <w:r w:rsidRPr="007647B4">
        <w:rPr>
          <w:rFonts w:asciiTheme="minorHAnsi" w:hAnsiTheme="minorHAnsi" w:cstheme="minorHAnsi"/>
          <w:color w:val="000000" w:themeColor="text1"/>
          <w:sz w:val="16"/>
          <w:szCs w:val="16"/>
        </w:rPr>
        <w:t>, </w:t>
      </w:r>
      <w:proofErr w:type="spellStart"/>
      <w:r w:rsidRPr="007647B4">
        <w:rPr>
          <w:rStyle w:val="hlfld-contribauthor"/>
          <w:rFonts w:asciiTheme="minorHAnsi" w:hAnsiTheme="minorHAnsi" w:cstheme="minorHAnsi"/>
          <w:color w:val="000000" w:themeColor="text1"/>
          <w:sz w:val="16"/>
          <w:szCs w:val="16"/>
        </w:rPr>
        <w:t>Gon</w:t>
      </w:r>
      <w:proofErr w:type="spellEnd"/>
      <w:r w:rsidRPr="007647B4">
        <w:rPr>
          <w:rStyle w:val="hlfld-contribauthor"/>
          <w:rFonts w:asciiTheme="minorHAnsi" w:hAnsiTheme="minorHAnsi" w:cstheme="minorHAnsi"/>
          <w:color w:val="000000" w:themeColor="text1"/>
          <w:sz w:val="16"/>
          <w:szCs w:val="16"/>
        </w:rPr>
        <w:t>, </w:t>
      </w:r>
      <w:r w:rsidRPr="007647B4">
        <w:rPr>
          <w:rStyle w:val="nlmgiven-names"/>
          <w:rFonts w:asciiTheme="minorHAnsi" w:hAnsiTheme="minorHAnsi" w:cstheme="minorHAnsi"/>
          <w:color w:val="000000" w:themeColor="text1"/>
          <w:sz w:val="16"/>
          <w:szCs w:val="16"/>
        </w:rPr>
        <w:t>C.</w:t>
      </w:r>
      <w:r w:rsidRPr="007647B4">
        <w:rPr>
          <w:rFonts w:asciiTheme="minorHAnsi" w:hAnsiTheme="minorHAnsi" w:cstheme="minorHAnsi"/>
          <w:color w:val="000000" w:themeColor="text1"/>
          <w:sz w:val="16"/>
          <w:szCs w:val="16"/>
        </w:rPr>
        <w:t>, </w:t>
      </w:r>
      <w:r w:rsidRPr="007647B4">
        <w:rPr>
          <w:rStyle w:val="hlfld-contribauthor"/>
          <w:rFonts w:asciiTheme="minorHAnsi" w:hAnsiTheme="minorHAnsi" w:cstheme="minorHAnsi"/>
          <w:color w:val="000000" w:themeColor="text1"/>
          <w:sz w:val="16"/>
          <w:szCs w:val="16"/>
        </w:rPr>
        <w:t>Chandra, </w:t>
      </w:r>
      <w:r w:rsidRPr="007647B4">
        <w:rPr>
          <w:rStyle w:val="nlmgiven-names"/>
          <w:rFonts w:asciiTheme="minorHAnsi" w:hAnsiTheme="minorHAnsi" w:cstheme="minorHAnsi"/>
          <w:color w:val="000000" w:themeColor="text1"/>
          <w:sz w:val="16"/>
          <w:szCs w:val="16"/>
        </w:rPr>
        <w:t>S.</w:t>
      </w:r>
      <w:r w:rsidRPr="007647B4">
        <w:rPr>
          <w:rFonts w:asciiTheme="minorHAnsi" w:hAnsiTheme="minorHAnsi" w:cstheme="minorHAnsi"/>
          <w:color w:val="000000" w:themeColor="text1"/>
          <w:sz w:val="16"/>
          <w:szCs w:val="16"/>
        </w:rPr>
        <w:t>, &amp; </w:t>
      </w:r>
      <w:r w:rsidRPr="007647B4">
        <w:rPr>
          <w:rStyle w:val="hlfld-contribauthor"/>
          <w:rFonts w:asciiTheme="minorHAnsi" w:hAnsiTheme="minorHAnsi" w:cstheme="minorHAnsi"/>
          <w:color w:val="000000" w:themeColor="text1"/>
          <w:sz w:val="16"/>
          <w:szCs w:val="16"/>
        </w:rPr>
        <w:t>Church, </w:t>
      </w:r>
      <w:r w:rsidRPr="007647B4">
        <w:rPr>
          <w:rStyle w:val="nlmgiven-names"/>
          <w:rFonts w:asciiTheme="minorHAnsi" w:hAnsiTheme="minorHAnsi" w:cstheme="minorHAnsi"/>
          <w:color w:val="000000" w:themeColor="text1"/>
          <w:sz w:val="16"/>
          <w:szCs w:val="16"/>
        </w:rPr>
        <w:t>J. C.</w:t>
      </w:r>
      <w:r w:rsidRPr="007647B4">
        <w:rPr>
          <w:rFonts w:asciiTheme="minorHAnsi" w:hAnsiTheme="minorHAnsi" w:cstheme="minorHAnsi"/>
          <w:color w:val="000000" w:themeColor="text1"/>
          <w:sz w:val="16"/>
          <w:szCs w:val="16"/>
        </w:rPr>
        <w:t> (</w:t>
      </w:r>
      <w:r w:rsidRPr="007647B4">
        <w:rPr>
          <w:rStyle w:val="nlmyear"/>
          <w:rFonts w:asciiTheme="minorHAnsi" w:hAnsiTheme="minorHAnsi" w:cstheme="minorHAnsi"/>
          <w:color w:val="000000" w:themeColor="text1"/>
          <w:sz w:val="16"/>
          <w:szCs w:val="16"/>
        </w:rPr>
        <w:t>2016</w:t>
      </w:r>
      <w:r w:rsidRPr="007647B4">
        <w:rPr>
          <w:rFonts w:asciiTheme="minorHAnsi" w:hAnsiTheme="minorHAnsi" w:cstheme="minorHAnsi"/>
          <w:color w:val="000000" w:themeColor="text1"/>
          <w:sz w:val="16"/>
          <w:szCs w:val="16"/>
        </w:rPr>
        <w:t>). </w:t>
      </w:r>
      <w:r w:rsidRPr="007647B4">
        <w:rPr>
          <w:rStyle w:val="nlmarticle-title"/>
          <w:rFonts w:asciiTheme="minorHAnsi" w:hAnsiTheme="minorHAnsi" w:cstheme="minorHAnsi"/>
          <w:color w:val="000000" w:themeColor="text1"/>
          <w:sz w:val="16"/>
          <w:szCs w:val="16"/>
        </w:rPr>
        <w:t>Changes in Cannabis Potency Over the Last 2 Decades (1995-2014): Analysis of Current Data in the United States</w:t>
      </w:r>
      <w:r w:rsidRPr="007647B4">
        <w:rPr>
          <w:rFonts w:asciiTheme="minorHAnsi" w:hAnsiTheme="minorHAnsi" w:cstheme="minorHAnsi"/>
          <w:color w:val="000000" w:themeColor="text1"/>
          <w:sz w:val="16"/>
          <w:szCs w:val="16"/>
        </w:rPr>
        <w:t>. Biological Psychiatry, 79, </w:t>
      </w:r>
      <w:r w:rsidRPr="007647B4">
        <w:rPr>
          <w:rStyle w:val="nlmfpage"/>
          <w:rFonts w:asciiTheme="minorHAnsi" w:hAnsiTheme="minorHAnsi" w:cstheme="minorHAnsi"/>
          <w:color w:val="000000" w:themeColor="text1"/>
          <w:sz w:val="16"/>
          <w:szCs w:val="16"/>
        </w:rPr>
        <w:t>613</w:t>
      </w:r>
      <w:r w:rsidRPr="007647B4">
        <w:rPr>
          <w:rFonts w:asciiTheme="minorHAnsi" w:hAnsiTheme="minorHAnsi" w:cstheme="minorHAnsi"/>
          <w:color w:val="000000" w:themeColor="text1"/>
          <w:sz w:val="16"/>
          <w:szCs w:val="16"/>
        </w:rPr>
        <w:t>–</w:t>
      </w:r>
      <w:r w:rsidRPr="007647B4">
        <w:rPr>
          <w:rStyle w:val="nlmlpage"/>
          <w:rFonts w:asciiTheme="minorHAnsi" w:hAnsiTheme="minorHAnsi" w:cstheme="minorHAnsi"/>
          <w:color w:val="000000" w:themeColor="text1"/>
          <w:sz w:val="16"/>
          <w:szCs w:val="16"/>
        </w:rPr>
        <w:t>619</w:t>
      </w:r>
      <w:r w:rsidRPr="007647B4">
        <w:rPr>
          <w:rFonts w:asciiTheme="minorHAnsi" w:hAnsiTheme="minorHAnsi" w:cstheme="minorHAnsi"/>
          <w:color w:val="000000" w:themeColor="text1"/>
          <w:sz w:val="16"/>
          <w:szCs w:val="16"/>
        </w:rPr>
        <w:t>. doi:</w:t>
      </w:r>
      <w:hyperlink r:id="rId2" w:tgtFrame="_blank" w:history="1">
        <w:r w:rsidRPr="007647B4">
          <w:rPr>
            <w:rStyle w:val="Hyperlink"/>
            <w:rFonts w:asciiTheme="minorHAnsi" w:hAnsiTheme="minorHAnsi" w:cstheme="minorHAnsi"/>
            <w:color w:val="000000" w:themeColor="text1"/>
            <w:sz w:val="16"/>
          </w:rPr>
          <w:t>10.1016/j.biopsych.2016.01.004</w:t>
        </w:r>
      </w:hyperlink>
    </w:p>
  </w:footnote>
  <w:footnote w:id="38">
    <w:p w14:paraId="6DB9855D" w14:textId="0275A1E1" w:rsidR="007647B4" w:rsidRPr="00EE331A" w:rsidRDefault="007647B4" w:rsidP="00D862C4">
      <w:pPr>
        <w:pStyle w:val="Heading1"/>
        <w:shd w:val="clear" w:color="auto" w:fill="FFFFFF"/>
        <w:adjustRightInd w:val="0"/>
        <w:snapToGrid w:val="0"/>
        <w:spacing w:before="0" w:beforeAutospacing="0" w:after="0" w:afterAutospacing="0"/>
        <w:contextualSpacing/>
        <w:rPr>
          <w:rFonts w:asciiTheme="minorHAnsi" w:hAnsiTheme="minorHAnsi" w:cstheme="minorHAnsi"/>
          <w:color w:val="000000" w:themeColor="text1"/>
          <w:sz w:val="16"/>
          <w:szCs w:val="16"/>
        </w:rPr>
      </w:pPr>
      <w:r w:rsidRPr="00D32EBA">
        <w:rPr>
          <w:rStyle w:val="FootnoteReference"/>
          <w:rFonts w:asciiTheme="minorHAnsi" w:hAnsiTheme="minorHAnsi" w:cstheme="minorHAnsi"/>
          <w:b w:val="0"/>
          <w:color w:val="000000" w:themeColor="text1"/>
          <w:sz w:val="16"/>
          <w:szCs w:val="16"/>
        </w:rPr>
        <w:footnoteRef/>
      </w:r>
      <w:r w:rsidRPr="00D32EBA">
        <w:rPr>
          <w:rFonts w:asciiTheme="minorHAnsi" w:hAnsiTheme="minorHAnsi" w:cstheme="minorHAnsi"/>
          <w:b w:val="0"/>
          <w:color w:val="000000" w:themeColor="text1"/>
          <w:sz w:val="16"/>
          <w:szCs w:val="16"/>
        </w:rPr>
        <w:t xml:space="preserve"> </w:t>
      </w:r>
      <w:hyperlink r:id="rId3" w:history="1">
        <w:r w:rsidRPr="00EE331A">
          <w:rPr>
            <w:rStyle w:val="highlight"/>
            <w:rFonts w:asciiTheme="minorHAnsi" w:hAnsiTheme="minorHAnsi" w:cstheme="minorHAnsi"/>
            <w:b w:val="0"/>
            <w:color w:val="000000" w:themeColor="text1"/>
            <w:sz w:val="16"/>
            <w:szCs w:val="16"/>
            <w:u w:val="single"/>
          </w:rPr>
          <w:t>Smart</w:t>
        </w:r>
        <w:r w:rsidRPr="00EE331A">
          <w:rPr>
            <w:rStyle w:val="Hyperlink"/>
            <w:rFonts w:asciiTheme="minorHAnsi" w:hAnsiTheme="minorHAnsi" w:cstheme="minorHAnsi"/>
            <w:b w:val="0"/>
            <w:color w:val="000000" w:themeColor="text1"/>
            <w:sz w:val="16"/>
            <w:szCs w:val="16"/>
          </w:rPr>
          <w:t> R</w:t>
        </w:r>
      </w:hyperlink>
      <w:r w:rsidRPr="00D32EBA">
        <w:rPr>
          <w:rFonts w:asciiTheme="minorHAnsi" w:hAnsiTheme="minorHAnsi" w:cstheme="minorHAnsi"/>
          <w:b w:val="0"/>
          <w:color w:val="000000" w:themeColor="text1"/>
          <w:sz w:val="16"/>
          <w:szCs w:val="16"/>
        </w:rPr>
        <w:t>, </w:t>
      </w:r>
      <w:proofErr w:type="spellStart"/>
      <w:r w:rsidRPr="00D32EBA">
        <w:rPr>
          <w:rFonts w:asciiTheme="minorHAnsi" w:hAnsiTheme="minorHAnsi" w:cstheme="minorHAnsi"/>
          <w:b w:val="0"/>
          <w:color w:val="000000" w:themeColor="text1"/>
          <w:sz w:val="16"/>
          <w:szCs w:val="16"/>
        </w:rPr>
        <w:fldChar w:fldCharType="begin"/>
      </w:r>
      <w:r w:rsidRPr="007647B4">
        <w:rPr>
          <w:rFonts w:asciiTheme="minorHAnsi" w:hAnsiTheme="minorHAnsi" w:cstheme="minorHAnsi"/>
          <w:b w:val="0"/>
          <w:color w:val="000000" w:themeColor="text1"/>
          <w:sz w:val="16"/>
          <w:szCs w:val="16"/>
        </w:rPr>
        <w:instrText xml:space="preserve"> HYPERLINK "https://www-ncbi-nlm-nih-gov.ucsf.idm.oclc.org/pubmed/?term=Caulkins%20JP%5BAuthor%5D&amp;cauthor=true&amp;cauthor_uid=28556310" </w:instrText>
      </w:r>
      <w:r w:rsidRPr="007647B4">
        <w:rPr>
          <w:rFonts w:asciiTheme="minorHAnsi" w:hAnsiTheme="minorHAnsi" w:cstheme="minorHAnsi"/>
          <w:b w:val="0"/>
          <w:color w:val="000000" w:themeColor="text1"/>
          <w:sz w:val="16"/>
          <w:szCs w:val="16"/>
        </w:rPr>
        <w:fldChar w:fldCharType="separate"/>
      </w:r>
      <w:r w:rsidRPr="00EE331A">
        <w:rPr>
          <w:rStyle w:val="Hyperlink"/>
          <w:rFonts w:asciiTheme="minorHAnsi" w:hAnsiTheme="minorHAnsi" w:cstheme="minorHAnsi"/>
          <w:b w:val="0"/>
          <w:color w:val="000000" w:themeColor="text1"/>
          <w:sz w:val="16"/>
          <w:szCs w:val="16"/>
        </w:rPr>
        <w:t>Caulkins</w:t>
      </w:r>
      <w:proofErr w:type="spellEnd"/>
      <w:r w:rsidRPr="00EE331A">
        <w:rPr>
          <w:rStyle w:val="Hyperlink"/>
          <w:rFonts w:asciiTheme="minorHAnsi" w:hAnsiTheme="minorHAnsi" w:cstheme="minorHAnsi"/>
          <w:b w:val="0"/>
          <w:color w:val="000000" w:themeColor="text1"/>
          <w:sz w:val="16"/>
          <w:szCs w:val="16"/>
        </w:rPr>
        <w:t xml:space="preserve"> JP</w:t>
      </w:r>
      <w:r w:rsidRPr="00EE331A">
        <w:rPr>
          <w:rFonts w:asciiTheme="minorHAnsi" w:hAnsiTheme="minorHAnsi" w:cstheme="minorHAnsi"/>
          <w:b w:val="0"/>
          <w:color w:val="000000" w:themeColor="text1"/>
          <w:sz w:val="16"/>
          <w:szCs w:val="16"/>
        </w:rPr>
        <w:fldChar w:fldCharType="end"/>
      </w:r>
      <w:r w:rsidRPr="00D32EBA">
        <w:rPr>
          <w:rFonts w:asciiTheme="minorHAnsi" w:hAnsiTheme="minorHAnsi" w:cstheme="minorHAnsi"/>
          <w:b w:val="0"/>
          <w:color w:val="000000" w:themeColor="text1"/>
          <w:sz w:val="16"/>
          <w:szCs w:val="16"/>
        </w:rPr>
        <w:t>, </w:t>
      </w:r>
      <w:hyperlink r:id="rId4" w:history="1">
        <w:r w:rsidRPr="00EE331A">
          <w:rPr>
            <w:rStyle w:val="Hyperlink"/>
            <w:rFonts w:asciiTheme="minorHAnsi" w:hAnsiTheme="minorHAnsi" w:cstheme="minorHAnsi"/>
            <w:b w:val="0"/>
            <w:color w:val="000000" w:themeColor="text1"/>
            <w:sz w:val="16"/>
            <w:szCs w:val="16"/>
          </w:rPr>
          <w:t>Kilmer B</w:t>
        </w:r>
      </w:hyperlink>
      <w:r w:rsidRPr="00D32EBA">
        <w:rPr>
          <w:rFonts w:asciiTheme="minorHAnsi" w:hAnsiTheme="minorHAnsi" w:cstheme="minorHAnsi"/>
          <w:b w:val="0"/>
          <w:color w:val="000000" w:themeColor="text1"/>
          <w:sz w:val="16"/>
          <w:szCs w:val="16"/>
        </w:rPr>
        <w:t>, </w:t>
      </w:r>
      <w:hyperlink r:id="rId5" w:history="1">
        <w:r w:rsidRPr="00EE331A">
          <w:rPr>
            <w:rStyle w:val="Hyperlink"/>
            <w:rFonts w:asciiTheme="minorHAnsi" w:hAnsiTheme="minorHAnsi" w:cstheme="minorHAnsi"/>
            <w:b w:val="0"/>
            <w:color w:val="000000" w:themeColor="text1"/>
            <w:sz w:val="16"/>
            <w:szCs w:val="16"/>
          </w:rPr>
          <w:t>Davenport S</w:t>
        </w:r>
      </w:hyperlink>
      <w:r w:rsidRPr="00D32EBA">
        <w:rPr>
          <w:rFonts w:asciiTheme="minorHAnsi" w:hAnsiTheme="minorHAnsi" w:cstheme="minorHAnsi"/>
          <w:b w:val="0"/>
          <w:color w:val="000000" w:themeColor="text1"/>
          <w:sz w:val="16"/>
          <w:szCs w:val="16"/>
        </w:rPr>
        <w:t>, </w:t>
      </w:r>
      <w:proofErr w:type="spellStart"/>
      <w:r w:rsidRPr="00D32EBA">
        <w:rPr>
          <w:rFonts w:asciiTheme="minorHAnsi" w:hAnsiTheme="minorHAnsi" w:cstheme="minorHAnsi"/>
          <w:b w:val="0"/>
          <w:color w:val="000000" w:themeColor="text1"/>
          <w:sz w:val="16"/>
          <w:szCs w:val="16"/>
        </w:rPr>
        <w:fldChar w:fldCharType="begin"/>
      </w:r>
      <w:r w:rsidRPr="007647B4">
        <w:rPr>
          <w:rFonts w:asciiTheme="minorHAnsi" w:hAnsiTheme="minorHAnsi" w:cstheme="minorHAnsi"/>
          <w:b w:val="0"/>
          <w:color w:val="000000" w:themeColor="text1"/>
          <w:sz w:val="16"/>
          <w:szCs w:val="16"/>
        </w:rPr>
        <w:instrText xml:space="preserve"> HYPERLINK "https://www-ncbi-nlm-nih-gov.ucsf.idm.oclc.org/pubmed/?term=Midgette%20G%5BAuthor%5D&amp;cauthor=true&amp;cauthor_uid=28556310" </w:instrText>
      </w:r>
      <w:r w:rsidRPr="007647B4">
        <w:rPr>
          <w:rFonts w:asciiTheme="minorHAnsi" w:hAnsiTheme="minorHAnsi" w:cstheme="minorHAnsi"/>
          <w:b w:val="0"/>
          <w:color w:val="000000" w:themeColor="text1"/>
          <w:sz w:val="16"/>
          <w:szCs w:val="16"/>
        </w:rPr>
        <w:fldChar w:fldCharType="separate"/>
      </w:r>
      <w:r w:rsidRPr="00EE331A">
        <w:rPr>
          <w:rStyle w:val="Hyperlink"/>
          <w:rFonts w:asciiTheme="minorHAnsi" w:hAnsiTheme="minorHAnsi" w:cstheme="minorHAnsi"/>
          <w:b w:val="0"/>
          <w:color w:val="000000" w:themeColor="text1"/>
          <w:sz w:val="16"/>
          <w:szCs w:val="16"/>
        </w:rPr>
        <w:t>Midgette</w:t>
      </w:r>
      <w:proofErr w:type="spellEnd"/>
      <w:r w:rsidRPr="00EE331A">
        <w:rPr>
          <w:rStyle w:val="Hyperlink"/>
          <w:rFonts w:asciiTheme="minorHAnsi" w:hAnsiTheme="minorHAnsi" w:cstheme="minorHAnsi"/>
          <w:b w:val="0"/>
          <w:color w:val="000000" w:themeColor="text1"/>
          <w:sz w:val="16"/>
          <w:szCs w:val="16"/>
        </w:rPr>
        <w:t xml:space="preserve"> G</w:t>
      </w:r>
      <w:r w:rsidRPr="00EE331A">
        <w:rPr>
          <w:rFonts w:asciiTheme="minorHAnsi" w:hAnsiTheme="minorHAnsi" w:cstheme="minorHAnsi"/>
          <w:b w:val="0"/>
          <w:color w:val="000000" w:themeColor="text1"/>
          <w:sz w:val="16"/>
          <w:szCs w:val="16"/>
        </w:rPr>
        <w:fldChar w:fldCharType="end"/>
      </w:r>
      <w:r w:rsidRPr="00D32EBA">
        <w:rPr>
          <w:rFonts w:asciiTheme="minorHAnsi" w:hAnsiTheme="minorHAnsi" w:cstheme="minorHAnsi"/>
          <w:b w:val="0"/>
          <w:color w:val="000000" w:themeColor="text1"/>
          <w:sz w:val="16"/>
          <w:szCs w:val="16"/>
        </w:rPr>
        <w:t>. Variation in </w:t>
      </w:r>
      <w:r w:rsidRPr="00EE331A">
        <w:rPr>
          <w:rStyle w:val="highlight"/>
          <w:rFonts w:asciiTheme="minorHAnsi" w:hAnsiTheme="minorHAnsi" w:cstheme="minorHAnsi"/>
          <w:b w:val="0"/>
          <w:color w:val="000000" w:themeColor="text1"/>
          <w:sz w:val="16"/>
          <w:szCs w:val="16"/>
        </w:rPr>
        <w:t>cannabis</w:t>
      </w:r>
      <w:r w:rsidRPr="00EE331A">
        <w:rPr>
          <w:rFonts w:asciiTheme="minorHAnsi" w:hAnsiTheme="minorHAnsi" w:cstheme="minorHAnsi"/>
          <w:b w:val="0"/>
          <w:color w:val="000000" w:themeColor="text1"/>
          <w:sz w:val="16"/>
          <w:szCs w:val="16"/>
        </w:rPr>
        <w:t> potency and prices in a newly</w:t>
      </w:r>
      <w:r w:rsidRPr="00A47FC2">
        <w:rPr>
          <w:rFonts w:asciiTheme="minorHAnsi" w:hAnsiTheme="minorHAnsi" w:cstheme="minorHAnsi"/>
          <w:b w:val="0"/>
          <w:color w:val="000000" w:themeColor="text1"/>
          <w:sz w:val="16"/>
          <w:szCs w:val="16"/>
        </w:rPr>
        <w:t xml:space="preserve"> legal market: evidence from 30 million </w:t>
      </w:r>
      <w:r w:rsidRPr="00A47FC2">
        <w:rPr>
          <w:rStyle w:val="highlight"/>
          <w:rFonts w:asciiTheme="minorHAnsi" w:hAnsiTheme="minorHAnsi" w:cstheme="minorHAnsi"/>
          <w:b w:val="0"/>
          <w:color w:val="000000" w:themeColor="text1"/>
          <w:sz w:val="16"/>
          <w:szCs w:val="16"/>
        </w:rPr>
        <w:t>cannabis</w:t>
      </w:r>
      <w:r w:rsidRPr="00A47FC2">
        <w:rPr>
          <w:rFonts w:asciiTheme="minorHAnsi" w:hAnsiTheme="minorHAnsi" w:cstheme="minorHAnsi"/>
          <w:b w:val="0"/>
          <w:color w:val="000000" w:themeColor="text1"/>
          <w:sz w:val="16"/>
          <w:szCs w:val="16"/>
        </w:rPr>
        <w:t> sales in </w:t>
      </w:r>
      <w:r w:rsidRPr="00A47FC2">
        <w:rPr>
          <w:rStyle w:val="highlight"/>
          <w:rFonts w:asciiTheme="minorHAnsi" w:hAnsiTheme="minorHAnsi" w:cstheme="minorHAnsi"/>
          <w:b w:val="0"/>
          <w:color w:val="000000" w:themeColor="text1"/>
          <w:sz w:val="16"/>
          <w:szCs w:val="16"/>
        </w:rPr>
        <w:t>Washington</w:t>
      </w:r>
      <w:r w:rsidRPr="007647B4">
        <w:rPr>
          <w:rFonts w:asciiTheme="minorHAnsi" w:hAnsiTheme="minorHAnsi" w:cstheme="minorHAnsi"/>
          <w:b w:val="0"/>
          <w:color w:val="000000" w:themeColor="text1"/>
          <w:sz w:val="16"/>
          <w:szCs w:val="16"/>
        </w:rPr>
        <w:t xml:space="preserve"> state. </w:t>
      </w:r>
      <w:hyperlink r:id="rId6" w:tooltip="Addiction (Abingdon, England)." w:history="1">
        <w:r w:rsidRPr="00EE331A">
          <w:rPr>
            <w:rStyle w:val="Hyperlink"/>
            <w:rFonts w:asciiTheme="minorHAnsi" w:hAnsiTheme="minorHAnsi" w:cstheme="minorHAnsi"/>
            <w:b w:val="0"/>
            <w:color w:val="000000" w:themeColor="text1"/>
            <w:sz w:val="16"/>
            <w:szCs w:val="16"/>
          </w:rPr>
          <w:t>Addiction.</w:t>
        </w:r>
      </w:hyperlink>
      <w:r w:rsidRPr="00D32EBA">
        <w:rPr>
          <w:rFonts w:asciiTheme="minorHAnsi" w:hAnsiTheme="minorHAnsi" w:cstheme="minorHAnsi"/>
          <w:b w:val="0"/>
          <w:color w:val="000000" w:themeColor="text1"/>
          <w:sz w:val="16"/>
          <w:szCs w:val="16"/>
        </w:rPr>
        <w:t xml:space="preserve"> 2017 Dec;112(12):2167-2177. </w:t>
      </w:r>
      <w:proofErr w:type="spellStart"/>
      <w:r w:rsidRPr="00D32EBA">
        <w:rPr>
          <w:rFonts w:asciiTheme="minorHAnsi" w:hAnsiTheme="minorHAnsi" w:cstheme="minorHAnsi"/>
          <w:b w:val="0"/>
          <w:color w:val="000000" w:themeColor="text1"/>
          <w:sz w:val="16"/>
          <w:szCs w:val="16"/>
        </w:rPr>
        <w:t>doi</w:t>
      </w:r>
      <w:proofErr w:type="spellEnd"/>
      <w:r w:rsidRPr="00D32EBA">
        <w:rPr>
          <w:rFonts w:asciiTheme="minorHAnsi" w:hAnsiTheme="minorHAnsi" w:cstheme="minorHAnsi"/>
          <w:b w:val="0"/>
          <w:color w:val="000000" w:themeColor="text1"/>
          <w:sz w:val="16"/>
          <w:szCs w:val="16"/>
        </w:rPr>
        <w:t xml:space="preserve">: 10.1111/add.13886. </w:t>
      </w:r>
      <w:proofErr w:type="spellStart"/>
      <w:r w:rsidRPr="00D32EBA">
        <w:rPr>
          <w:rFonts w:asciiTheme="minorHAnsi" w:hAnsiTheme="minorHAnsi" w:cstheme="minorHAnsi"/>
          <w:b w:val="0"/>
          <w:color w:val="000000" w:themeColor="text1"/>
          <w:sz w:val="16"/>
          <w:szCs w:val="16"/>
        </w:rPr>
        <w:t>Ep</w:t>
      </w:r>
      <w:r w:rsidRPr="00EE331A">
        <w:rPr>
          <w:rFonts w:asciiTheme="minorHAnsi" w:hAnsiTheme="minorHAnsi" w:cstheme="minorHAnsi"/>
          <w:b w:val="0"/>
          <w:color w:val="000000" w:themeColor="text1"/>
          <w:sz w:val="16"/>
          <w:szCs w:val="16"/>
        </w:rPr>
        <w:t>ub</w:t>
      </w:r>
      <w:proofErr w:type="spellEnd"/>
      <w:r w:rsidRPr="00EE331A">
        <w:rPr>
          <w:rFonts w:asciiTheme="minorHAnsi" w:hAnsiTheme="minorHAnsi" w:cstheme="minorHAnsi"/>
          <w:b w:val="0"/>
          <w:color w:val="000000" w:themeColor="text1"/>
          <w:sz w:val="16"/>
          <w:szCs w:val="16"/>
        </w:rPr>
        <w:t xml:space="preserve"> 2017 Jul 4</w:t>
      </w:r>
    </w:p>
  </w:footnote>
  <w:footnote w:id="39">
    <w:p w14:paraId="4D49D323" w14:textId="726411FB" w:rsidR="007647B4" w:rsidRPr="007647B4" w:rsidRDefault="007647B4" w:rsidP="004F0418">
      <w:pPr>
        <w:pStyle w:val="FootnoteText"/>
        <w:contextualSpacing/>
        <w:rPr>
          <w:rFonts w:asciiTheme="minorHAnsi" w:hAnsiTheme="minorHAnsi" w:cstheme="minorHAnsi"/>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333333"/>
          <w:sz w:val="16"/>
          <w:szCs w:val="16"/>
        </w:rPr>
        <w:t xml:space="preserve">van </w:t>
      </w:r>
      <w:r w:rsidRPr="007647B4">
        <w:rPr>
          <w:rStyle w:val="hlfld-contribauthor"/>
          <w:rFonts w:asciiTheme="minorHAnsi" w:hAnsiTheme="minorHAnsi" w:cstheme="minorHAnsi"/>
          <w:color w:val="333333"/>
          <w:sz w:val="16"/>
          <w:szCs w:val="16"/>
          <w:shd w:val="clear" w:color="auto" w:fill="FFFFFF"/>
        </w:rPr>
        <w:t>der Pol, </w:t>
      </w:r>
      <w:r w:rsidRPr="007647B4">
        <w:rPr>
          <w:rStyle w:val="nlmgiven-names"/>
          <w:rFonts w:asciiTheme="minorHAnsi" w:hAnsiTheme="minorHAnsi" w:cstheme="minorHAnsi"/>
          <w:color w:val="333333"/>
          <w:sz w:val="16"/>
          <w:szCs w:val="16"/>
          <w:shd w:val="clear" w:color="auto" w:fill="FFFFFF"/>
        </w:rPr>
        <w:t>P.</w:t>
      </w:r>
      <w:r w:rsidRPr="007647B4">
        <w:rPr>
          <w:rStyle w:val="ref-overlay"/>
          <w:rFonts w:asciiTheme="minorHAnsi" w:hAnsiTheme="minorHAnsi" w:cstheme="minorHAnsi"/>
          <w:color w:val="333333"/>
          <w:sz w:val="16"/>
          <w:szCs w:val="16"/>
          <w:shd w:val="clear" w:color="auto" w:fill="FFFFFF"/>
        </w:rPr>
        <w:t>, </w:t>
      </w:r>
      <w:proofErr w:type="spellStart"/>
      <w:r w:rsidRPr="007647B4">
        <w:rPr>
          <w:rStyle w:val="hlfld-contribauthor"/>
          <w:rFonts w:asciiTheme="minorHAnsi" w:hAnsiTheme="minorHAnsi" w:cstheme="minorHAnsi"/>
          <w:color w:val="333333"/>
          <w:sz w:val="16"/>
          <w:szCs w:val="16"/>
          <w:shd w:val="clear" w:color="auto" w:fill="FFFFFF"/>
        </w:rPr>
        <w:t>Liebregts</w:t>
      </w:r>
      <w:proofErr w:type="spellEnd"/>
      <w:r w:rsidRPr="007647B4">
        <w:rPr>
          <w:rStyle w:val="hlfld-contribauthor"/>
          <w:rFonts w:asciiTheme="minorHAnsi" w:hAnsiTheme="minorHAnsi" w:cstheme="minorHAnsi"/>
          <w:color w:val="333333"/>
          <w:sz w:val="16"/>
          <w:szCs w:val="16"/>
          <w:shd w:val="clear" w:color="auto" w:fill="FFFFFF"/>
        </w:rPr>
        <w:t>, </w:t>
      </w:r>
      <w:r w:rsidRPr="007647B4">
        <w:rPr>
          <w:rStyle w:val="nlmgiven-names"/>
          <w:rFonts w:asciiTheme="minorHAnsi" w:hAnsiTheme="minorHAnsi" w:cstheme="minorHAnsi"/>
          <w:color w:val="333333"/>
          <w:sz w:val="16"/>
          <w:szCs w:val="16"/>
          <w:shd w:val="clear" w:color="auto" w:fill="FFFFFF"/>
        </w:rPr>
        <w:t>N.</w:t>
      </w:r>
      <w:r w:rsidRPr="007647B4">
        <w:rPr>
          <w:rStyle w:val="ref-overlay"/>
          <w:rFonts w:asciiTheme="minorHAnsi" w:hAnsiTheme="minorHAnsi" w:cstheme="minorHAnsi"/>
          <w:color w:val="333333"/>
          <w:sz w:val="16"/>
          <w:szCs w:val="16"/>
          <w:shd w:val="clear" w:color="auto" w:fill="FFFFFF"/>
        </w:rPr>
        <w:t>, </w:t>
      </w:r>
      <w:r w:rsidRPr="007647B4">
        <w:rPr>
          <w:rStyle w:val="hlfld-contribauthor"/>
          <w:rFonts w:asciiTheme="minorHAnsi" w:hAnsiTheme="minorHAnsi" w:cstheme="minorHAnsi"/>
          <w:color w:val="333333"/>
          <w:sz w:val="16"/>
          <w:szCs w:val="16"/>
          <w:shd w:val="clear" w:color="auto" w:fill="FFFFFF"/>
        </w:rPr>
        <w:t>Brunt, </w:t>
      </w:r>
      <w:r w:rsidRPr="007647B4">
        <w:rPr>
          <w:rStyle w:val="nlmgiven-names"/>
          <w:rFonts w:asciiTheme="minorHAnsi" w:hAnsiTheme="minorHAnsi" w:cstheme="minorHAnsi"/>
          <w:color w:val="333333"/>
          <w:sz w:val="16"/>
          <w:szCs w:val="16"/>
          <w:shd w:val="clear" w:color="auto" w:fill="FFFFFF"/>
        </w:rPr>
        <w:t>T.</w:t>
      </w:r>
      <w:r w:rsidRPr="007647B4">
        <w:rPr>
          <w:rStyle w:val="ref-overlay"/>
          <w:rFonts w:asciiTheme="minorHAnsi" w:hAnsiTheme="minorHAnsi" w:cstheme="minorHAnsi"/>
          <w:color w:val="333333"/>
          <w:sz w:val="16"/>
          <w:szCs w:val="16"/>
          <w:shd w:val="clear" w:color="auto" w:fill="FFFFFF"/>
        </w:rPr>
        <w:t>, </w:t>
      </w:r>
      <w:r w:rsidRPr="007647B4">
        <w:rPr>
          <w:rStyle w:val="hlfld-contribauthor"/>
          <w:rFonts w:asciiTheme="minorHAnsi" w:hAnsiTheme="minorHAnsi" w:cstheme="minorHAnsi"/>
          <w:color w:val="333333"/>
          <w:sz w:val="16"/>
          <w:szCs w:val="16"/>
          <w:shd w:val="clear" w:color="auto" w:fill="FFFFFF"/>
        </w:rPr>
        <w:t>van Amsterdam, </w:t>
      </w:r>
      <w:r w:rsidRPr="007647B4">
        <w:rPr>
          <w:rStyle w:val="nlmgiven-names"/>
          <w:rFonts w:asciiTheme="minorHAnsi" w:hAnsiTheme="minorHAnsi" w:cstheme="minorHAnsi"/>
          <w:color w:val="333333"/>
          <w:sz w:val="16"/>
          <w:szCs w:val="16"/>
          <w:shd w:val="clear" w:color="auto" w:fill="FFFFFF"/>
        </w:rPr>
        <w:t>J.</w:t>
      </w:r>
      <w:r w:rsidRPr="007647B4">
        <w:rPr>
          <w:rStyle w:val="ref-overlay"/>
          <w:rFonts w:asciiTheme="minorHAnsi" w:hAnsiTheme="minorHAnsi" w:cstheme="minorHAnsi"/>
          <w:color w:val="333333"/>
          <w:sz w:val="16"/>
          <w:szCs w:val="16"/>
          <w:shd w:val="clear" w:color="auto" w:fill="FFFFFF"/>
        </w:rPr>
        <w:t>, </w:t>
      </w:r>
      <w:r w:rsidRPr="007647B4">
        <w:rPr>
          <w:rStyle w:val="hlfld-contribauthor"/>
          <w:rFonts w:asciiTheme="minorHAnsi" w:hAnsiTheme="minorHAnsi" w:cstheme="minorHAnsi"/>
          <w:color w:val="333333"/>
          <w:sz w:val="16"/>
          <w:szCs w:val="16"/>
          <w:shd w:val="clear" w:color="auto" w:fill="FFFFFF"/>
        </w:rPr>
        <w:t>de Graaf, </w:t>
      </w:r>
      <w:r w:rsidRPr="007647B4">
        <w:rPr>
          <w:rStyle w:val="nlmgiven-names"/>
          <w:rFonts w:asciiTheme="minorHAnsi" w:hAnsiTheme="minorHAnsi" w:cstheme="minorHAnsi"/>
          <w:color w:val="333333"/>
          <w:sz w:val="16"/>
          <w:szCs w:val="16"/>
          <w:shd w:val="clear" w:color="auto" w:fill="FFFFFF"/>
        </w:rPr>
        <w:t>R.</w:t>
      </w:r>
      <w:r w:rsidRPr="007647B4">
        <w:rPr>
          <w:rStyle w:val="ref-overlay"/>
          <w:rFonts w:asciiTheme="minorHAnsi" w:hAnsiTheme="minorHAnsi" w:cstheme="minorHAnsi"/>
          <w:color w:val="333333"/>
          <w:sz w:val="16"/>
          <w:szCs w:val="16"/>
          <w:shd w:val="clear" w:color="auto" w:fill="FFFFFF"/>
        </w:rPr>
        <w:t>, </w:t>
      </w:r>
      <w:r w:rsidRPr="007647B4">
        <w:rPr>
          <w:rStyle w:val="hlfld-contribauthor"/>
          <w:rFonts w:asciiTheme="minorHAnsi" w:hAnsiTheme="minorHAnsi" w:cstheme="minorHAnsi"/>
          <w:color w:val="333333"/>
          <w:sz w:val="16"/>
          <w:szCs w:val="16"/>
          <w:shd w:val="clear" w:color="auto" w:fill="FFFFFF"/>
        </w:rPr>
        <w:t>Korf, </w:t>
      </w:r>
      <w:r w:rsidRPr="007647B4">
        <w:rPr>
          <w:rStyle w:val="nlmgiven-names"/>
          <w:rFonts w:asciiTheme="minorHAnsi" w:hAnsiTheme="minorHAnsi" w:cstheme="minorHAnsi"/>
          <w:color w:val="333333"/>
          <w:sz w:val="16"/>
          <w:szCs w:val="16"/>
          <w:shd w:val="clear" w:color="auto" w:fill="FFFFFF"/>
        </w:rPr>
        <w:t>D. J.</w:t>
      </w:r>
      <w:r w:rsidRPr="007647B4">
        <w:rPr>
          <w:rStyle w:val="ref-overlay"/>
          <w:rFonts w:asciiTheme="minorHAnsi" w:hAnsiTheme="minorHAnsi" w:cstheme="minorHAnsi"/>
          <w:color w:val="333333"/>
          <w:sz w:val="16"/>
          <w:szCs w:val="16"/>
          <w:shd w:val="clear" w:color="auto" w:fill="FFFFFF"/>
        </w:rPr>
        <w:t>, … </w:t>
      </w:r>
      <w:r w:rsidRPr="007647B4">
        <w:rPr>
          <w:rStyle w:val="hlfld-contribauthor"/>
          <w:rFonts w:asciiTheme="minorHAnsi" w:hAnsiTheme="minorHAnsi" w:cstheme="minorHAnsi"/>
          <w:color w:val="333333"/>
          <w:sz w:val="16"/>
          <w:szCs w:val="16"/>
          <w:shd w:val="clear" w:color="auto" w:fill="FFFFFF"/>
        </w:rPr>
        <w:t xml:space="preserve">van </w:t>
      </w:r>
      <w:proofErr w:type="spellStart"/>
      <w:r w:rsidRPr="007647B4">
        <w:rPr>
          <w:rStyle w:val="hlfld-contribauthor"/>
          <w:rFonts w:asciiTheme="minorHAnsi" w:hAnsiTheme="minorHAnsi" w:cstheme="minorHAnsi"/>
          <w:color w:val="333333"/>
          <w:sz w:val="16"/>
          <w:szCs w:val="16"/>
          <w:shd w:val="clear" w:color="auto" w:fill="FFFFFF"/>
        </w:rPr>
        <w:t>Laar</w:t>
      </w:r>
      <w:proofErr w:type="spellEnd"/>
      <w:r w:rsidRPr="007647B4">
        <w:rPr>
          <w:rStyle w:val="hlfld-contribauthor"/>
          <w:rFonts w:asciiTheme="minorHAnsi" w:hAnsiTheme="minorHAnsi" w:cstheme="minorHAnsi"/>
          <w:color w:val="333333"/>
          <w:sz w:val="16"/>
          <w:szCs w:val="16"/>
          <w:shd w:val="clear" w:color="auto" w:fill="FFFFFF"/>
        </w:rPr>
        <w:t>, </w:t>
      </w:r>
      <w:r w:rsidRPr="007647B4">
        <w:rPr>
          <w:rStyle w:val="nlmgiven-names"/>
          <w:rFonts w:asciiTheme="minorHAnsi" w:hAnsiTheme="minorHAnsi" w:cstheme="minorHAnsi"/>
          <w:color w:val="333333"/>
          <w:sz w:val="16"/>
          <w:szCs w:val="16"/>
          <w:shd w:val="clear" w:color="auto" w:fill="FFFFFF"/>
        </w:rPr>
        <w:t>M.</w:t>
      </w:r>
      <w:r w:rsidRPr="007647B4">
        <w:rPr>
          <w:rStyle w:val="ref-overlay"/>
          <w:rFonts w:asciiTheme="minorHAnsi" w:hAnsiTheme="minorHAnsi" w:cstheme="minorHAnsi"/>
          <w:color w:val="333333"/>
          <w:sz w:val="16"/>
          <w:szCs w:val="16"/>
          <w:shd w:val="clear" w:color="auto" w:fill="FFFFFF"/>
        </w:rPr>
        <w:t> (</w:t>
      </w:r>
      <w:r w:rsidRPr="007647B4">
        <w:rPr>
          <w:rStyle w:val="nlmyear"/>
          <w:rFonts w:asciiTheme="minorHAnsi" w:hAnsiTheme="minorHAnsi" w:cstheme="minorHAnsi"/>
          <w:color w:val="333333"/>
          <w:sz w:val="16"/>
          <w:szCs w:val="16"/>
          <w:shd w:val="clear" w:color="auto" w:fill="FFFFFF"/>
        </w:rPr>
        <w:t>2014</w:t>
      </w:r>
      <w:r w:rsidRPr="007647B4">
        <w:rPr>
          <w:rStyle w:val="ref-overlay"/>
          <w:rFonts w:asciiTheme="minorHAnsi" w:hAnsiTheme="minorHAnsi" w:cstheme="minorHAnsi"/>
          <w:color w:val="333333"/>
          <w:sz w:val="16"/>
          <w:szCs w:val="16"/>
          <w:shd w:val="clear" w:color="auto" w:fill="FFFFFF"/>
        </w:rPr>
        <w:t>). </w:t>
      </w:r>
      <w:r w:rsidRPr="007647B4">
        <w:rPr>
          <w:rStyle w:val="nlmarticle-title"/>
          <w:rFonts w:asciiTheme="minorHAnsi" w:hAnsiTheme="minorHAnsi" w:cstheme="minorHAnsi"/>
          <w:color w:val="333333"/>
          <w:sz w:val="16"/>
          <w:szCs w:val="16"/>
          <w:shd w:val="clear" w:color="auto" w:fill="FFFFFF"/>
        </w:rPr>
        <w:t xml:space="preserve">Cross-sectional and prospective relation of cannabis potency, dosing and smoking </w:t>
      </w:r>
      <w:proofErr w:type="spellStart"/>
      <w:r w:rsidRPr="007647B4">
        <w:rPr>
          <w:rStyle w:val="nlmarticle-title"/>
          <w:rFonts w:asciiTheme="minorHAnsi" w:hAnsiTheme="minorHAnsi" w:cstheme="minorHAnsi"/>
          <w:color w:val="333333"/>
          <w:sz w:val="16"/>
          <w:szCs w:val="16"/>
          <w:shd w:val="clear" w:color="auto" w:fill="FFFFFF"/>
        </w:rPr>
        <w:t>behaviour</w:t>
      </w:r>
      <w:proofErr w:type="spellEnd"/>
      <w:r w:rsidRPr="007647B4">
        <w:rPr>
          <w:rStyle w:val="nlmarticle-title"/>
          <w:rFonts w:asciiTheme="minorHAnsi" w:hAnsiTheme="minorHAnsi" w:cstheme="minorHAnsi"/>
          <w:color w:val="333333"/>
          <w:sz w:val="16"/>
          <w:szCs w:val="16"/>
          <w:shd w:val="clear" w:color="auto" w:fill="FFFFFF"/>
        </w:rPr>
        <w:t xml:space="preserve"> with cannabis dependence: an ecological study</w:t>
      </w:r>
      <w:r w:rsidRPr="007647B4">
        <w:rPr>
          <w:rStyle w:val="ref-overlay"/>
          <w:rFonts w:asciiTheme="minorHAnsi" w:hAnsiTheme="minorHAnsi" w:cstheme="minorHAnsi"/>
          <w:color w:val="333333"/>
          <w:sz w:val="16"/>
          <w:szCs w:val="16"/>
          <w:shd w:val="clear" w:color="auto" w:fill="FFFFFF"/>
        </w:rPr>
        <w:t>. Addiction, 109, </w:t>
      </w:r>
      <w:r w:rsidRPr="007647B4">
        <w:rPr>
          <w:rStyle w:val="nlmfpage"/>
          <w:rFonts w:asciiTheme="minorHAnsi" w:hAnsiTheme="minorHAnsi" w:cstheme="minorHAnsi"/>
          <w:color w:val="333333"/>
          <w:sz w:val="16"/>
          <w:szCs w:val="16"/>
          <w:shd w:val="clear" w:color="auto" w:fill="FFFFFF"/>
        </w:rPr>
        <w:t>1101</w:t>
      </w:r>
      <w:r w:rsidRPr="007647B4">
        <w:rPr>
          <w:rStyle w:val="ref-overlay"/>
          <w:rFonts w:asciiTheme="minorHAnsi" w:hAnsiTheme="minorHAnsi" w:cstheme="minorHAnsi"/>
          <w:color w:val="333333"/>
          <w:sz w:val="16"/>
          <w:szCs w:val="16"/>
          <w:shd w:val="clear" w:color="auto" w:fill="FFFFFF"/>
        </w:rPr>
        <w:t>–</w:t>
      </w:r>
      <w:r w:rsidRPr="007647B4">
        <w:rPr>
          <w:rStyle w:val="nlmlpage"/>
          <w:rFonts w:asciiTheme="minorHAnsi" w:hAnsiTheme="minorHAnsi" w:cstheme="minorHAnsi"/>
          <w:color w:val="333333"/>
          <w:sz w:val="16"/>
          <w:szCs w:val="16"/>
          <w:shd w:val="clear" w:color="auto" w:fill="FFFFFF"/>
        </w:rPr>
        <w:t>1109</w:t>
      </w:r>
      <w:r w:rsidRPr="007647B4">
        <w:rPr>
          <w:rStyle w:val="ref-overlay"/>
          <w:rFonts w:asciiTheme="minorHAnsi" w:hAnsiTheme="minorHAnsi" w:cstheme="minorHAnsi"/>
          <w:color w:val="333333"/>
          <w:sz w:val="16"/>
          <w:szCs w:val="16"/>
          <w:shd w:val="clear" w:color="auto" w:fill="FFFFFF"/>
        </w:rPr>
        <w:t>. doi:</w:t>
      </w:r>
      <w:hyperlink r:id="rId7" w:tgtFrame="_blank" w:history="1">
        <w:r w:rsidRPr="007647B4">
          <w:rPr>
            <w:rStyle w:val="Hyperlink"/>
            <w:rFonts w:asciiTheme="minorHAnsi" w:hAnsiTheme="minorHAnsi" w:cstheme="minorHAnsi"/>
            <w:color w:val="10147E"/>
            <w:sz w:val="16"/>
            <w:szCs w:val="16"/>
          </w:rPr>
          <w:t>10.1111/add.12508</w:t>
        </w:r>
      </w:hyperlink>
    </w:p>
  </w:footnote>
  <w:footnote w:id="40">
    <w:p w14:paraId="2435CAB8" w14:textId="77777777" w:rsidR="007647B4" w:rsidRPr="007647B4" w:rsidRDefault="007647B4" w:rsidP="004F0418">
      <w:pPr>
        <w:contextualSpacing/>
        <w:rPr>
          <w:rFonts w:asciiTheme="minorHAnsi" w:hAnsiTheme="minorHAnsi" w:cstheme="minorHAnsi"/>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Style w:val="hlfld-contribauthor"/>
          <w:rFonts w:asciiTheme="minorHAnsi" w:hAnsiTheme="minorHAnsi" w:cstheme="minorHAnsi"/>
          <w:color w:val="333333"/>
          <w:sz w:val="16"/>
          <w:szCs w:val="16"/>
        </w:rPr>
        <w:t>Chait, </w:t>
      </w:r>
      <w:r w:rsidRPr="007647B4">
        <w:rPr>
          <w:rStyle w:val="nlmgiven-names"/>
          <w:rFonts w:asciiTheme="minorHAnsi" w:hAnsiTheme="minorHAnsi" w:cstheme="minorHAnsi"/>
          <w:color w:val="333333"/>
          <w:sz w:val="16"/>
          <w:szCs w:val="16"/>
        </w:rPr>
        <w:t>L. D.</w:t>
      </w:r>
      <w:r w:rsidRPr="007647B4">
        <w:rPr>
          <w:rFonts w:asciiTheme="minorHAnsi" w:hAnsiTheme="minorHAnsi" w:cstheme="minorHAnsi"/>
          <w:color w:val="333333"/>
          <w:sz w:val="16"/>
          <w:szCs w:val="16"/>
        </w:rPr>
        <w:t> (</w:t>
      </w:r>
      <w:r w:rsidRPr="007647B4">
        <w:rPr>
          <w:rStyle w:val="nlmyear"/>
          <w:rFonts w:asciiTheme="minorHAnsi" w:hAnsiTheme="minorHAnsi" w:cstheme="minorHAnsi"/>
          <w:color w:val="333333"/>
          <w:sz w:val="16"/>
          <w:szCs w:val="16"/>
        </w:rPr>
        <w:t>1989</w:t>
      </w:r>
      <w:r w:rsidRPr="007647B4">
        <w:rPr>
          <w:rFonts w:asciiTheme="minorHAnsi" w:hAnsiTheme="minorHAnsi" w:cstheme="minorHAnsi"/>
          <w:color w:val="333333"/>
          <w:sz w:val="16"/>
          <w:szCs w:val="16"/>
        </w:rPr>
        <w:t>). </w:t>
      </w:r>
      <w:r w:rsidRPr="007647B4">
        <w:rPr>
          <w:rStyle w:val="nlmarticle-title"/>
          <w:rFonts w:asciiTheme="minorHAnsi" w:hAnsiTheme="minorHAnsi" w:cstheme="minorHAnsi"/>
          <w:color w:val="333333"/>
          <w:sz w:val="16"/>
          <w:szCs w:val="16"/>
        </w:rPr>
        <w:t>Delta-9-tetrahydrocannabinol content and human marijuana self-administration</w:t>
      </w:r>
      <w:r w:rsidRPr="007647B4">
        <w:rPr>
          <w:rFonts w:asciiTheme="minorHAnsi" w:hAnsiTheme="minorHAnsi" w:cstheme="minorHAnsi"/>
          <w:color w:val="333333"/>
          <w:sz w:val="16"/>
          <w:szCs w:val="16"/>
        </w:rPr>
        <w:t>. Psychopharmacology (</w:t>
      </w:r>
      <w:proofErr w:type="spellStart"/>
      <w:r w:rsidRPr="007647B4">
        <w:rPr>
          <w:rFonts w:asciiTheme="minorHAnsi" w:hAnsiTheme="minorHAnsi" w:cstheme="minorHAnsi"/>
          <w:color w:val="333333"/>
          <w:sz w:val="16"/>
          <w:szCs w:val="16"/>
        </w:rPr>
        <w:t>Berl</w:t>
      </w:r>
      <w:proofErr w:type="spellEnd"/>
      <w:r w:rsidRPr="007647B4">
        <w:rPr>
          <w:rFonts w:asciiTheme="minorHAnsi" w:hAnsiTheme="minorHAnsi" w:cstheme="minorHAnsi"/>
          <w:color w:val="333333"/>
          <w:sz w:val="16"/>
          <w:szCs w:val="16"/>
        </w:rPr>
        <w:t>), 98, </w:t>
      </w:r>
      <w:r w:rsidRPr="007647B4">
        <w:rPr>
          <w:rStyle w:val="nlmfpage"/>
          <w:rFonts w:asciiTheme="minorHAnsi" w:hAnsiTheme="minorHAnsi" w:cstheme="minorHAnsi"/>
          <w:color w:val="333333"/>
          <w:sz w:val="16"/>
          <w:szCs w:val="16"/>
        </w:rPr>
        <w:t>51</w:t>
      </w:r>
      <w:r w:rsidRPr="007647B4">
        <w:rPr>
          <w:rFonts w:asciiTheme="minorHAnsi" w:hAnsiTheme="minorHAnsi" w:cstheme="minorHAnsi"/>
          <w:color w:val="333333"/>
          <w:sz w:val="16"/>
          <w:szCs w:val="16"/>
        </w:rPr>
        <w:t>–</w:t>
      </w:r>
      <w:r w:rsidRPr="007647B4">
        <w:rPr>
          <w:rStyle w:val="nlmlpage"/>
          <w:rFonts w:asciiTheme="minorHAnsi" w:hAnsiTheme="minorHAnsi" w:cstheme="minorHAnsi"/>
          <w:color w:val="333333"/>
          <w:sz w:val="16"/>
          <w:szCs w:val="16"/>
        </w:rPr>
        <w:t>55</w:t>
      </w:r>
      <w:r w:rsidRPr="007647B4">
        <w:rPr>
          <w:rFonts w:asciiTheme="minorHAnsi" w:hAnsiTheme="minorHAnsi" w:cstheme="minorHAnsi"/>
          <w:color w:val="333333"/>
          <w:sz w:val="16"/>
          <w:szCs w:val="16"/>
        </w:rPr>
        <w:t>. Retrieved from </w:t>
      </w:r>
      <w:hyperlink r:id="rId8" w:tgtFrame="_blank" w:history="1">
        <w:r w:rsidRPr="007647B4">
          <w:rPr>
            <w:rStyle w:val="Hyperlink"/>
            <w:rFonts w:asciiTheme="minorHAnsi" w:hAnsiTheme="minorHAnsi" w:cstheme="minorHAnsi"/>
            <w:color w:val="10147E"/>
            <w:sz w:val="16"/>
            <w:szCs w:val="16"/>
          </w:rPr>
          <w:t>https://www-ncbi-nlm-nih-gov.ucsf.idm.oclc.org/pubmed/2543018</w:t>
        </w:r>
      </w:hyperlink>
      <w:hyperlink r:id="rId9" w:tgtFrame="_blank" w:history="1">
        <w:r w:rsidRPr="007647B4">
          <w:rPr>
            <w:rStyle w:val="Hyperlink"/>
            <w:rFonts w:asciiTheme="minorHAnsi" w:hAnsiTheme="minorHAnsi" w:cstheme="minorHAnsi"/>
            <w:color w:val="006DB4"/>
            <w:sz w:val="16"/>
            <w:szCs w:val="16"/>
          </w:rPr>
          <w:t>10</w:t>
        </w:r>
      </w:hyperlink>
    </w:p>
  </w:footnote>
  <w:footnote w:id="41">
    <w:p w14:paraId="3EAEC8FD" w14:textId="254EC102" w:rsidR="007647B4" w:rsidRPr="007647B4" w:rsidRDefault="007647B4" w:rsidP="004F0418">
      <w:pPr>
        <w:pStyle w:val="FootnoteText"/>
        <w:contextualSpacing/>
        <w:rPr>
          <w:rFonts w:asciiTheme="minorHAnsi" w:hAnsiTheme="minorHAnsi" w:cstheme="minorHAnsi"/>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Style w:val="hlfld-contribauthor"/>
          <w:rFonts w:asciiTheme="minorHAnsi" w:hAnsiTheme="minorHAnsi" w:cstheme="minorHAnsi"/>
          <w:color w:val="333333"/>
          <w:sz w:val="16"/>
          <w:szCs w:val="16"/>
          <w:shd w:val="clear" w:color="auto" w:fill="FFFFFF"/>
        </w:rPr>
        <w:t>Freeman, </w:t>
      </w:r>
      <w:r w:rsidRPr="007647B4">
        <w:rPr>
          <w:rStyle w:val="nlmgiven-names"/>
          <w:rFonts w:asciiTheme="minorHAnsi" w:hAnsiTheme="minorHAnsi" w:cstheme="minorHAnsi"/>
          <w:color w:val="333333"/>
          <w:sz w:val="16"/>
          <w:szCs w:val="16"/>
          <w:shd w:val="clear" w:color="auto" w:fill="FFFFFF"/>
        </w:rPr>
        <w:t>T. P.</w:t>
      </w:r>
      <w:r w:rsidRPr="007647B4">
        <w:rPr>
          <w:rStyle w:val="ref-overlay"/>
          <w:rFonts w:asciiTheme="minorHAnsi" w:hAnsiTheme="minorHAnsi" w:cstheme="minorHAnsi"/>
          <w:color w:val="333333"/>
          <w:sz w:val="16"/>
          <w:szCs w:val="16"/>
          <w:shd w:val="clear" w:color="auto" w:fill="FFFFFF"/>
        </w:rPr>
        <w:t>, &amp; </w:t>
      </w:r>
      <w:proofErr w:type="spellStart"/>
      <w:r w:rsidRPr="007647B4">
        <w:rPr>
          <w:rStyle w:val="hlfld-contribauthor"/>
          <w:rFonts w:asciiTheme="minorHAnsi" w:hAnsiTheme="minorHAnsi" w:cstheme="minorHAnsi"/>
          <w:color w:val="333333"/>
          <w:sz w:val="16"/>
          <w:szCs w:val="16"/>
          <w:shd w:val="clear" w:color="auto" w:fill="FFFFFF"/>
        </w:rPr>
        <w:t>Winstock</w:t>
      </w:r>
      <w:proofErr w:type="spellEnd"/>
      <w:r w:rsidRPr="007647B4">
        <w:rPr>
          <w:rStyle w:val="hlfld-contribauthor"/>
          <w:rFonts w:asciiTheme="minorHAnsi" w:hAnsiTheme="minorHAnsi" w:cstheme="minorHAnsi"/>
          <w:color w:val="333333"/>
          <w:sz w:val="16"/>
          <w:szCs w:val="16"/>
          <w:shd w:val="clear" w:color="auto" w:fill="FFFFFF"/>
        </w:rPr>
        <w:t>, </w:t>
      </w:r>
      <w:r w:rsidRPr="007647B4">
        <w:rPr>
          <w:rStyle w:val="nlmgiven-names"/>
          <w:rFonts w:asciiTheme="minorHAnsi" w:hAnsiTheme="minorHAnsi" w:cstheme="minorHAnsi"/>
          <w:color w:val="333333"/>
          <w:sz w:val="16"/>
          <w:szCs w:val="16"/>
          <w:shd w:val="clear" w:color="auto" w:fill="FFFFFF"/>
        </w:rPr>
        <w:t>A. R.</w:t>
      </w:r>
      <w:r w:rsidRPr="007647B4">
        <w:rPr>
          <w:rStyle w:val="ref-overlay"/>
          <w:rFonts w:asciiTheme="minorHAnsi" w:hAnsiTheme="minorHAnsi" w:cstheme="minorHAnsi"/>
          <w:color w:val="333333"/>
          <w:sz w:val="16"/>
          <w:szCs w:val="16"/>
          <w:shd w:val="clear" w:color="auto" w:fill="FFFFFF"/>
        </w:rPr>
        <w:t> (</w:t>
      </w:r>
      <w:r w:rsidRPr="007647B4">
        <w:rPr>
          <w:rStyle w:val="nlmyear"/>
          <w:rFonts w:asciiTheme="minorHAnsi" w:hAnsiTheme="minorHAnsi" w:cstheme="minorHAnsi"/>
          <w:color w:val="333333"/>
          <w:sz w:val="16"/>
          <w:szCs w:val="16"/>
          <w:shd w:val="clear" w:color="auto" w:fill="FFFFFF"/>
        </w:rPr>
        <w:t>2015</w:t>
      </w:r>
      <w:r w:rsidRPr="007647B4">
        <w:rPr>
          <w:rStyle w:val="ref-overlay"/>
          <w:rFonts w:asciiTheme="minorHAnsi" w:hAnsiTheme="minorHAnsi" w:cstheme="minorHAnsi"/>
          <w:color w:val="333333"/>
          <w:sz w:val="16"/>
          <w:szCs w:val="16"/>
          <w:shd w:val="clear" w:color="auto" w:fill="FFFFFF"/>
        </w:rPr>
        <w:t>). </w:t>
      </w:r>
      <w:r w:rsidRPr="007647B4">
        <w:rPr>
          <w:rStyle w:val="nlmarticle-title"/>
          <w:rFonts w:asciiTheme="minorHAnsi" w:hAnsiTheme="minorHAnsi" w:cstheme="minorHAnsi"/>
          <w:color w:val="333333"/>
          <w:sz w:val="16"/>
          <w:szCs w:val="16"/>
          <w:shd w:val="clear" w:color="auto" w:fill="FFFFFF"/>
        </w:rPr>
        <w:t>Examining the profile of high-potency cannabis and its association with severity of cannabis dependence</w:t>
      </w:r>
      <w:r w:rsidRPr="007647B4">
        <w:rPr>
          <w:rStyle w:val="ref-overlay"/>
          <w:rFonts w:asciiTheme="minorHAnsi" w:hAnsiTheme="minorHAnsi" w:cstheme="minorHAnsi"/>
          <w:color w:val="333333"/>
          <w:sz w:val="16"/>
          <w:szCs w:val="16"/>
          <w:shd w:val="clear" w:color="auto" w:fill="FFFFFF"/>
        </w:rPr>
        <w:t>. Psychological Medicine, 45, </w:t>
      </w:r>
      <w:r w:rsidRPr="007647B4">
        <w:rPr>
          <w:rStyle w:val="nlmfpage"/>
          <w:rFonts w:asciiTheme="minorHAnsi" w:hAnsiTheme="minorHAnsi" w:cstheme="minorHAnsi"/>
          <w:color w:val="333333"/>
          <w:sz w:val="16"/>
          <w:szCs w:val="16"/>
          <w:shd w:val="clear" w:color="auto" w:fill="FFFFFF"/>
        </w:rPr>
        <w:t>3181</w:t>
      </w:r>
      <w:r w:rsidRPr="007647B4">
        <w:rPr>
          <w:rStyle w:val="ref-overlay"/>
          <w:rFonts w:asciiTheme="minorHAnsi" w:hAnsiTheme="minorHAnsi" w:cstheme="minorHAnsi"/>
          <w:color w:val="333333"/>
          <w:sz w:val="16"/>
          <w:szCs w:val="16"/>
          <w:shd w:val="clear" w:color="auto" w:fill="FFFFFF"/>
        </w:rPr>
        <w:t>–</w:t>
      </w:r>
      <w:r w:rsidRPr="007647B4">
        <w:rPr>
          <w:rStyle w:val="nlmlpage"/>
          <w:rFonts w:asciiTheme="minorHAnsi" w:hAnsiTheme="minorHAnsi" w:cstheme="minorHAnsi"/>
          <w:color w:val="333333"/>
          <w:sz w:val="16"/>
          <w:szCs w:val="16"/>
          <w:shd w:val="clear" w:color="auto" w:fill="FFFFFF"/>
        </w:rPr>
        <w:t>3189</w:t>
      </w:r>
      <w:r w:rsidRPr="007647B4">
        <w:rPr>
          <w:rStyle w:val="ref-overlay"/>
          <w:rFonts w:asciiTheme="minorHAnsi" w:hAnsiTheme="minorHAnsi" w:cstheme="minorHAnsi"/>
          <w:color w:val="333333"/>
          <w:sz w:val="16"/>
          <w:szCs w:val="16"/>
          <w:shd w:val="clear" w:color="auto" w:fill="FFFFFF"/>
        </w:rPr>
        <w:t>. doi:</w:t>
      </w:r>
      <w:hyperlink r:id="rId10" w:tgtFrame="_blank" w:history="1">
        <w:r w:rsidRPr="007647B4">
          <w:rPr>
            <w:rStyle w:val="Hyperlink"/>
            <w:rFonts w:asciiTheme="minorHAnsi" w:hAnsiTheme="minorHAnsi" w:cstheme="minorHAnsi"/>
            <w:color w:val="10147E"/>
            <w:sz w:val="16"/>
            <w:szCs w:val="16"/>
          </w:rPr>
          <w:t>10.1017/S0033291715001178</w:t>
        </w:r>
      </w:hyperlink>
    </w:p>
  </w:footnote>
  <w:footnote w:id="42">
    <w:p w14:paraId="52616B13" w14:textId="77777777" w:rsidR="007647B4" w:rsidRPr="007647B4" w:rsidRDefault="007647B4" w:rsidP="004F0418">
      <w:pPr>
        <w:pStyle w:val="FootnoteText"/>
        <w:contextualSpacing/>
        <w:rPr>
          <w:rFonts w:asciiTheme="minorHAnsi" w:hAnsiTheme="minorHAnsi" w:cstheme="minorHAnsi"/>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Style w:val="ref-lnk"/>
          <w:rFonts w:asciiTheme="minorHAnsi" w:hAnsiTheme="minorHAnsi" w:cstheme="minorHAnsi"/>
          <w:color w:val="333333"/>
          <w:sz w:val="16"/>
          <w:szCs w:val="16"/>
        </w:rPr>
        <w:t>Van der Pol, ibid</w:t>
      </w:r>
    </w:p>
  </w:footnote>
  <w:footnote w:id="43">
    <w:p w14:paraId="7E559795" w14:textId="77777777" w:rsidR="007647B4" w:rsidRPr="007647B4" w:rsidRDefault="007647B4" w:rsidP="004F0418">
      <w:pPr>
        <w:pStyle w:val="FootnoteText"/>
        <w:contextualSpacing/>
        <w:rPr>
          <w:rFonts w:asciiTheme="minorHAnsi" w:hAnsiTheme="minorHAnsi" w:cstheme="minorHAnsi"/>
          <w:b/>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Style w:val="hlfld-contribauthor"/>
          <w:rFonts w:asciiTheme="minorHAnsi" w:hAnsiTheme="minorHAnsi" w:cstheme="minorHAnsi"/>
          <w:color w:val="333333"/>
          <w:sz w:val="16"/>
          <w:szCs w:val="16"/>
          <w:shd w:val="clear" w:color="auto" w:fill="FFFFFF"/>
        </w:rPr>
        <w:t>Di Forti, </w:t>
      </w:r>
      <w:r w:rsidRPr="007647B4">
        <w:rPr>
          <w:rStyle w:val="nlmgiven-names"/>
          <w:rFonts w:asciiTheme="minorHAnsi" w:hAnsiTheme="minorHAnsi" w:cstheme="minorHAnsi"/>
          <w:color w:val="333333"/>
          <w:sz w:val="16"/>
          <w:szCs w:val="16"/>
          <w:shd w:val="clear" w:color="auto" w:fill="FFFFFF"/>
        </w:rPr>
        <w:t>M.</w:t>
      </w:r>
      <w:r w:rsidRPr="007647B4">
        <w:rPr>
          <w:rStyle w:val="ref-overlay"/>
          <w:rFonts w:asciiTheme="minorHAnsi" w:hAnsiTheme="minorHAnsi" w:cstheme="minorHAnsi"/>
          <w:color w:val="333333"/>
          <w:sz w:val="16"/>
          <w:szCs w:val="16"/>
          <w:shd w:val="clear" w:color="auto" w:fill="FFFFFF"/>
        </w:rPr>
        <w:t>, </w:t>
      </w:r>
      <w:r w:rsidRPr="007647B4">
        <w:rPr>
          <w:rStyle w:val="hlfld-contribauthor"/>
          <w:rFonts w:asciiTheme="minorHAnsi" w:hAnsiTheme="minorHAnsi" w:cstheme="minorHAnsi"/>
          <w:color w:val="333333"/>
          <w:sz w:val="16"/>
          <w:szCs w:val="16"/>
          <w:shd w:val="clear" w:color="auto" w:fill="FFFFFF"/>
        </w:rPr>
        <w:t>Marconi, </w:t>
      </w:r>
      <w:r w:rsidRPr="007647B4">
        <w:rPr>
          <w:rStyle w:val="nlmgiven-names"/>
          <w:rFonts w:asciiTheme="minorHAnsi" w:hAnsiTheme="minorHAnsi" w:cstheme="minorHAnsi"/>
          <w:color w:val="333333"/>
          <w:sz w:val="16"/>
          <w:szCs w:val="16"/>
          <w:shd w:val="clear" w:color="auto" w:fill="FFFFFF"/>
        </w:rPr>
        <w:t>A.</w:t>
      </w:r>
      <w:r w:rsidRPr="007647B4">
        <w:rPr>
          <w:rStyle w:val="ref-overlay"/>
          <w:rFonts w:asciiTheme="minorHAnsi" w:hAnsiTheme="minorHAnsi" w:cstheme="minorHAnsi"/>
          <w:color w:val="333333"/>
          <w:sz w:val="16"/>
          <w:szCs w:val="16"/>
          <w:shd w:val="clear" w:color="auto" w:fill="FFFFFF"/>
        </w:rPr>
        <w:t>, </w:t>
      </w:r>
      <w:r w:rsidRPr="007647B4">
        <w:rPr>
          <w:rStyle w:val="hlfld-contribauthor"/>
          <w:rFonts w:asciiTheme="minorHAnsi" w:hAnsiTheme="minorHAnsi" w:cstheme="minorHAnsi"/>
          <w:color w:val="333333"/>
          <w:sz w:val="16"/>
          <w:szCs w:val="16"/>
          <w:shd w:val="clear" w:color="auto" w:fill="FFFFFF"/>
        </w:rPr>
        <w:t>Carra, </w:t>
      </w:r>
      <w:r w:rsidRPr="007647B4">
        <w:rPr>
          <w:rStyle w:val="nlmgiven-names"/>
          <w:rFonts w:asciiTheme="minorHAnsi" w:hAnsiTheme="minorHAnsi" w:cstheme="minorHAnsi"/>
          <w:color w:val="333333"/>
          <w:sz w:val="16"/>
          <w:szCs w:val="16"/>
          <w:shd w:val="clear" w:color="auto" w:fill="FFFFFF"/>
        </w:rPr>
        <w:t>E.</w:t>
      </w:r>
      <w:r w:rsidRPr="007647B4">
        <w:rPr>
          <w:rStyle w:val="ref-overlay"/>
          <w:rFonts w:asciiTheme="minorHAnsi" w:hAnsiTheme="minorHAnsi" w:cstheme="minorHAnsi"/>
          <w:color w:val="333333"/>
          <w:sz w:val="16"/>
          <w:szCs w:val="16"/>
          <w:shd w:val="clear" w:color="auto" w:fill="FFFFFF"/>
        </w:rPr>
        <w:t>, </w:t>
      </w:r>
      <w:r w:rsidRPr="007647B4">
        <w:rPr>
          <w:rStyle w:val="hlfld-contribauthor"/>
          <w:rFonts w:asciiTheme="minorHAnsi" w:hAnsiTheme="minorHAnsi" w:cstheme="minorHAnsi"/>
          <w:color w:val="333333"/>
          <w:sz w:val="16"/>
          <w:szCs w:val="16"/>
          <w:shd w:val="clear" w:color="auto" w:fill="FFFFFF"/>
        </w:rPr>
        <w:t>Fraietta, </w:t>
      </w:r>
      <w:r w:rsidRPr="007647B4">
        <w:rPr>
          <w:rStyle w:val="nlmgiven-names"/>
          <w:rFonts w:asciiTheme="minorHAnsi" w:hAnsiTheme="minorHAnsi" w:cstheme="minorHAnsi"/>
          <w:color w:val="333333"/>
          <w:sz w:val="16"/>
          <w:szCs w:val="16"/>
          <w:shd w:val="clear" w:color="auto" w:fill="FFFFFF"/>
        </w:rPr>
        <w:t>S.</w:t>
      </w:r>
      <w:r w:rsidRPr="007647B4">
        <w:rPr>
          <w:rStyle w:val="ref-overlay"/>
          <w:rFonts w:asciiTheme="minorHAnsi" w:hAnsiTheme="minorHAnsi" w:cstheme="minorHAnsi"/>
          <w:color w:val="333333"/>
          <w:sz w:val="16"/>
          <w:szCs w:val="16"/>
          <w:shd w:val="clear" w:color="auto" w:fill="FFFFFF"/>
        </w:rPr>
        <w:t>, </w:t>
      </w:r>
      <w:r w:rsidRPr="007647B4">
        <w:rPr>
          <w:rStyle w:val="hlfld-contribauthor"/>
          <w:rFonts w:asciiTheme="minorHAnsi" w:hAnsiTheme="minorHAnsi" w:cstheme="minorHAnsi"/>
          <w:color w:val="333333"/>
          <w:sz w:val="16"/>
          <w:szCs w:val="16"/>
          <w:shd w:val="clear" w:color="auto" w:fill="FFFFFF"/>
        </w:rPr>
        <w:t>Trotta, </w:t>
      </w:r>
      <w:r w:rsidRPr="007647B4">
        <w:rPr>
          <w:rStyle w:val="nlmgiven-names"/>
          <w:rFonts w:asciiTheme="minorHAnsi" w:hAnsiTheme="minorHAnsi" w:cstheme="minorHAnsi"/>
          <w:color w:val="333333"/>
          <w:sz w:val="16"/>
          <w:szCs w:val="16"/>
          <w:shd w:val="clear" w:color="auto" w:fill="FFFFFF"/>
        </w:rPr>
        <w:t>A.</w:t>
      </w:r>
      <w:r w:rsidRPr="007647B4">
        <w:rPr>
          <w:rStyle w:val="ref-overlay"/>
          <w:rFonts w:asciiTheme="minorHAnsi" w:hAnsiTheme="minorHAnsi" w:cstheme="minorHAnsi"/>
          <w:color w:val="333333"/>
          <w:sz w:val="16"/>
          <w:szCs w:val="16"/>
          <w:shd w:val="clear" w:color="auto" w:fill="FFFFFF"/>
        </w:rPr>
        <w:t>, </w:t>
      </w:r>
      <w:r w:rsidRPr="007647B4">
        <w:rPr>
          <w:rStyle w:val="hlfld-contribauthor"/>
          <w:rFonts w:asciiTheme="minorHAnsi" w:hAnsiTheme="minorHAnsi" w:cstheme="minorHAnsi"/>
          <w:color w:val="333333"/>
          <w:sz w:val="16"/>
          <w:szCs w:val="16"/>
          <w:shd w:val="clear" w:color="auto" w:fill="FFFFFF"/>
        </w:rPr>
        <w:t>Bonomo, </w:t>
      </w:r>
      <w:r w:rsidRPr="007647B4">
        <w:rPr>
          <w:rStyle w:val="nlmgiven-names"/>
          <w:rFonts w:asciiTheme="minorHAnsi" w:hAnsiTheme="minorHAnsi" w:cstheme="minorHAnsi"/>
          <w:color w:val="333333"/>
          <w:sz w:val="16"/>
          <w:szCs w:val="16"/>
          <w:shd w:val="clear" w:color="auto" w:fill="FFFFFF"/>
        </w:rPr>
        <w:t>M.</w:t>
      </w:r>
      <w:r w:rsidRPr="007647B4">
        <w:rPr>
          <w:rStyle w:val="ref-overlay"/>
          <w:rFonts w:asciiTheme="minorHAnsi" w:hAnsiTheme="minorHAnsi" w:cstheme="minorHAnsi"/>
          <w:color w:val="333333"/>
          <w:sz w:val="16"/>
          <w:szCs w:val="16"/>
          <w:shd w:val="clear" w:color="auto" w:fill="FFFFFF"/>
        </w:rPr>
        <w:t>, … </w:t>
      </w:r>
      <w:r w:rsidRPr="007647B4">
        <w:rPr>
          <w:rStyle w:val="hlfld-contribauthor"/>
          <w:rFonts w:asciiTheme="minorHAnsi" w:hAnsiTheme="minorHAnsi" w:cstheme="minorHAnsi"/>
          <w:color w:val="333333"/>
          <w:sz w:val="16"/>
          <w:szCs w:val="16"/>
          <w:shd w:val="clear" w:color="auto" w:fill="FFFFFF"/>
        </w:rPr>
        <w:t>Murray, </w:t>
      </w:r>
      <w:r w:rsidRPr="007647B4">
        <w:rPr>
          <w:rStyle w:val="nlmgiven-names"/>
          <w:rFonts w:asciiTheme="minorHAnsi" w:hAnsiTheme="minorHAnsi" w:cstheme="minorHAnsi"/>
          <w:color w:val="333333"/>
          <w:sz w:val="16"/>
          <w:szCs w:val="16"/>
          <w:shd w:val="clear" w:color="auto" w:fill="FFFFFF"/>
        </w:rPr>
        <w:t>R. M.</w:t>
      </w:r>
      <w:r w:rsidRPr="007647B4">
        <w:rPr>
          <w:rStyle w:val="ref-overlay"/>
          <w:rFonts w:asciiTheme="minorHAnsi" w:hAnsiTheme="minorHAnsi" w:cstheme="minorHAnsi"/>
          <w:color w:val="333333"/>
          <w:sz w:val="16"/>
          <w:szCs w:val="16"/>
          <w:shd w:val="clear" w:color="auto" w:fill="FFFFFF"/>
        </w:rPr>
        <w:t> (</w:t>
      </w:r>
      <w:r w:rsidRPr="007647B4">
        <w:rPr>
          <w:rStyle w:val="nlmyear"/>
          <w:rFonts w:asciiTheme="minorHAnsi" w:hAnsiTheme="minorHAnsi" w:cstheme="minorHAnsi"/>
          <w:color w:val="333333"/>
          <w:sz w:val="16"/>
          <w:szCs w:val="16"/>
          <w:shd w:val="clear" w:color="auto" w:fill="FFFFFF"/>
        </w:rPr>
        <w:t>2015</w:t>
      </w:r>
      <w:r w:rsidRPr="007647B4">
        <w:rPr>
          <w:rStyle w:val="ref-overlay"/>
          <w:rFonts w:asciiTheme="minorHAnsi" w:hAnsiTheme="minorHAnsi" w:cstheme="minorHAnsi"/>
          <w:color w:val="333333"/>
          <w:sz w:val="16"/>
          <w:szCs w:val="16"/>
          <w:shd w:val="clear" w:color="auto" w:fill="FFFFFF"/>
        </w:rPr>
        <w:t>). </w:t>
      </w:r>
      <w:r w:rsidRPr="007647B4">
        <w:rPr>
          <w:rStyle w:val="nlmarticle-title"/>
          <w:rFonts w:asciiTheme="minorHAnsi" w:hAnsiTheme="minorHAnsi" w:cstheme="minorHAnsi"/>
          <w:color w:val="333333"/>
          <w:sz w:val="16"/>
          <w:szCs w:val="16"/>
          <w:shd w:val="clear" w:color="auto" w:fill="FFFFFF"/>
        </w:rPr>
        <w:t>Proportion of patients in south London with first-episode psychosis attributable to use of high potency cannabis: a case-control study</w:t>
      </w:r>
      <w:r w:rsidRPr="007647B4">
        <w:rPr>
          <w:rStyle w:val="ref-overlay"/>
          <w:rFonts w:asciiTheme="minorHAnsi" w:hAnsiTheme="minorHAnsi" w:cstheme="minorHAnsi"/>
          <w:color w:val="333333"/>
          <w:sz w:val="16"/>
          <w:szCs w:val="16"/>
          <w:shd w:val="clear" w:color="auto" w:fill="FFFFFF"/>
        </w:rPr>
        <w:t>. The Lancet Psychiatry, 2, </w:t>
      </w:r>
      <w:r w:rsidRPr="007647B4">
        <w:rPr>
          <w:rStyle w:val="nlmfpage"/>
          <w:rFonts w:asciiTheme="minorHAnsi" w:hAnsiTheme="minorHAnsi" w:cstheme="minorHAnsi"/>
          <w:color w:val="333333"/>
          <w:sz w:val="16"/>
          <w:szCs w:val="16"/>
          <w:shd w:val="clear" w:color="auto" w:fill="FFFFFF"/>
        </w:rPr>
        <w:t>233</w:t>
      </w:r>
      <w:r w:rsidRPr="007647B4">
        <w:rPr>
          <w:rStyle w:val="ref-overlay"/>
          <w:rFonts w:asciiTheme="minorHAnsi" w:hAnsiTheme="minorHAnsi" w:cstheme="minorHAnsi"/>
          <w:color w:val="333333"/>
          <w:sz w:val="16"/>
          <w:szCs w:val="16"/>
          <w:shd w:val="clear" w:color="auto" w:fill="FFFFFF"/>
        </w:rPr>
        <w:t>–</w:t>
      </w:r>
      <w:r w:rsidRPr="007647B4">
        <w:rPr>
          <w:rStyle w:val="nlmlpage"/>
          <w:rFonts w:asciiTheme="minorHAnsi" w:hAnsiTheme="minorHAnsi" w:cstheme="minorHAnsi"/>
          <w:color w:val="333333"/>
          <w:sz w:val="16"/>
          <w:szCs w:val="16"/>
          <w:shd w:val="clear" w:color="auto" w:fill="FFFFFF"/>
        </w:rPr>
        <w:t>238</w:t>
      </w:r>
      <w:r w:rsidRPr="007647B4">
        <w:rPr>
          <w:rStyle w:val="ref-overlay"/>
          <w:rFonts w:asciiTheme="minorHAnsi" w:hAnsiTheme="minorHAnsi" w:cstheme="minorHAnsi"/>
          <w:color w:val="333333"/>
          <w:sz w:val="16"/>
          <w:szCs w:val="16"/>
          <w:shd w:val="clear" w:color="auto" w:fill="FFFFFF"/>
        </w:rPr>
        <w:t>. doi:</w:t>
      </w:r>
      <w:hyperlink r:id="rId11" w:tgtFrame="_blank" w:history="1">
        <w:r w:rsidRPr="007647B4">
          <w:rPr>
            <w:rStyle w:val="Hyperlink"/>
            <w:rFonts w:asciiTheme="minorHAnsi" w:hAnsiTheme="minorHAnsi" w:cstheme="minorHAnsi"/>
            <w:color w:val="10147E"/>
            <w:sz w:val="16"/>
            <w:szCs w:val="16"/>
          </w:rPr>
          <w:t>10.1016/s2215-0366(14)00117-5</w:t>
        </w:r>
      </w:hyperlink>
    </w:p>
  </w:footnote>
  <w:footnote w:id="44">
    <w:p w14:paraId="34A52D9C" w14:textId="77777777" w:rsidR="007647B4" w:rsidRPr="007647B4" w:rsidRDefault="007647B4" w:rsidP="004F0418">
      <w:pPr>
        <w:pStyle w:val="FootnoteText"/>
        <w:contextualSpacing/>
        <w:rPr>
          <w:rFonts w:asciiTheme="minorHAnsi" w:hAnsiTheme="minorHAnsi" w:cstheme="minorHAnsi"/>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Style w:val="hlfld-contribauthor"/>
          <w:rFonts w:asciiTheme="minorHAnsi" w:hAnsiTheme="minorHAnsi" w:cstheme="minorHAnsi"/>
          <w:color w:val="333333"/>
          <w:sz w:val="16"/>
          <w:szCs w:val="16"/>
          <w:shd w:val="clear" w:color="auto" w:fill="FFFFFF"/>
        </w:rPr>
        <w:t>Large, </w:t>
      </w:r>
      <w:r w:rsidRPr="007647B4">
        <w:rPr>
          <w:rStyle w:val="nlmgiven-names"/>
          <w:rFonts w:asciiTheme="minorHAnsi" w:hAnsiTheme="minorHAnsi" w:cstheme="minorHAnsi"/>
          <w:color w:val="333333"/>
          <w:sz w:val="16"/>
          <w:szCs w:val="16"/>
          <w:shd w:val="clear" w:color="auto" w:fill="FFFFFF"/>
        </w:rPr>
        <w:t>M.</w:t>
      </w:r>
      <w:r w:rsidRPr="007647B4">
        <w:rPr>
          <w:rStyle w:val="ref-overlay"/>
          <w:rFonts w:asciiTheme="minorHAnsi" w:hAnsiTheme="minorHAnsi" w:cstheme="minorHAnsi"/>
          <w:color w:val="333333"/>
          <w:sz w:val="16"/>
          <w:szCs w:val="16"/>
          <w:shd w:val="clear" w:color="auto" w:fill="FFFFFF"/>
        </w:rPr>
        <w:t>, &amp; </w:t>
      </w:r>
      <w:proofErr w:type="spellStart"/>
      <w:r w:rsidRPr="007647B4">
        <w:rPr>
          <w:rStyle w:val="hlfld-contribauthor"/>
          <w:rFonts w:asciiTheme="minorHAnsi" w:hAnsiTheme="minorHAnsi" w:cstheme="minorHAnsi"/>
          <w:color w:val="333333"/>
          <w:sz w:val="16"/>
          <w:szCs w:val="16"/>
          <w:shd w:val="clear" w:color="auto" w:fill="FFFFFF"/>
        </w:rPr>
        <w:t>Nielssen</w:t>
      </w:r>
      <w:proofErr w:type="spellEnd"/>
      <w:r w:rsidRPr="007647B4">
        <w:rPr>
          <w:rStyle w:val="hlfld-contribauthor"/>
          <w:rFonts w:asciiTheme="minorHAnsi" w:hAnsiTheme="minorHAnsi" w:cstheme="minorHAnsi"/>
          <w:color w:val="333333"/>
          <w:sz w:val="16"/>
          <w:szCs w:val="16"/>
          <w:shd w:val="clear" w:color="auto" w:fill="FFFFFF"/>
        </w:rPr>
        <w:t>, </w:t>
      </w:r>
      <w:r w:rsidRPr="007647B4">
        <w:rPr>
          <w:rStyle w:val="nlmgiven-names"/>
          <w:rFonts w:asciiTheme="minorHAnsi" w:hAnsiTheme="minorHAnsi" w:cstheme="minorHAnsi"/>
          <w:color w:val="333333"/>
          <w:sz w:val="16"/>
          <w:szCs w:val="16"/>
          <w:shd w:val="clear" w:color="auto" w:fill="FFFFFF"/>
        </w:rPr>
        <w:t>O.</w:t>
      </w:r>
      <w:r w:rsidRPr="007647B4">
        <w:rPr>
          <w:rStyle w:val="ref-overlay"/>
          <w:rFonts w:asciiTheme="minorHAnsi" w:hAnsiTheme="minorHAnsi" w:cstheme="minorHAnsi"/>
          <w:color w:val="333333"/>
          <w:sz w:val="16"/>
          <w:szCs w:val="16"/>
          <w:shd w:val="clear" w:color="auto" w:fill="FFFFFF"/>
        </w:rPr>
        <w:t> (</w:t>
      </w:r>
      <w:r w:rsidRPr="007647B4">
        <w:rPr>
          <w:rStyle w:val="nlmyear"/>
          <w:rFonts w:asciiTheme="minorHAnsi" w:hAnsiTheme="minorHAnsi" w:cstheme="minorHAnsi"/>
          <w:color w:val="333333"/>
          <w:sz w:val="16"/>
          <w:szCs w:val="16"/>
          <w:shd w:val="clear" w:color="auto" w:fill="FFFFFF"/>
        </w:rPr>
        <w:t>2017</w:t>
      </w:r>
      <w:r w:rsidRPr="007647B4">
        <w:rPr>
          <w:rStyle w:val="ref-overlay"/>
          <w:rFonts w:asciiTheme="minorHAnsi" w:hAnsiTheme="minorHAnsi" w:cstheme="minorHAnsi"/>
          <w:color w:val="333333"/>
          <w:sz w:val="16"/>
          <w:szCs w:val="16"/>
          <w:shd w:val="clear" w:color="auto" w:fill="FFFFFF"/>
        </w:rPr>
        <w:t>). </w:t>
      </w:r>
      <w:r w:rsidRPr="007647B4">
        <w:rPr>
          <w:rStyle w:val="nlmarticle-title"/>
          <w:rFonts w:asciiTheme="minorHAnsi" w:hAnsiTheme="minorHAnsi" w:cstheme="minorHAnsi"/>
          <w:color w:val="333333"/>
          <w:sz w:val="16"/>
          <w:szCs w:val="16"/>
          <w:shd w:val="clear" w:color="auto" w:fill="FFFFFF"/>
        </w:rPr>
        <w:t>Daily use of high-potency cannabis is associated with an increased risk of admission and more intervention after first-episode psychosis</w:t>
      </w:r>
      <w:r w:rsidRPr="007647B4">
        <w:rPr>
          <w:rStyle w:val="ref-overlay"/>
          <w:rFonts w:asciiTheme="minorHAnsi" w:hAnsiTheme="minorHAnsi" w:cstheme="minorHAnsi"/>
          <w:color w:val="333333"/>
          <w:sz w:val="16"/>
          <w:szCs w:val="16"/>
          <w:shd w:val="clear" w:color="auto" w:fill="FFFFFF"/>
        </w:rPr>
        <w:t>. Evidence-Based Mental Health, 20, </w:t>
      </w:r>
      <w:r w:rsidRPr="007647B4">
        <w:rPr>
          <w:rStyle w:val="nlmfpage"/>
          <w:rFonts w:asciiTheme="minorHAnsi" w:hAnsiTheme="minorHAnsi" w:cstheme="minorHAnsi"/>
          <w:color w:val="333333"/>
          <w:sz w:val="16"/>
          <w:szCs w:val="16"/>
          <w:shd w:val="clear" w:color="auto" w:fill="FFFFFF"/>
        </w:rPr>
        <w:t>58</w:t>
      </w:r>
      <w:r w:rsidRPr="007647B4">
        <w:rPr>
          <w:rStyle w:val="ref-overlay"/>
          <w:rFonts w:asciiTheme="minorHAnsi" w:hAnsiTheme="minorHAnsi" w:cstheme="minorHAnsi"/>
          <w:color w:val="333333"/>
          <w:sz w:val="16"/>
          <w:szCs w:val="16"/>
          <w:shd w:val="clear" w:color="auto" w:fill="FFFFFF"/>
        </w:rPr>
        <w:t>. doi:</w:t>
      </w:r>
      <w:r w:rsidRPr="007647B4">
        <w:rPr>
          <w:rStyle w:val="nlmpub-id"/>
          <w:rFonts w:asciiTheme="minorHAnsi" w:hAnsiTheme="minorHAnsi" w:cstheme="minorHAnsi"/>
          <w:color w:val="333333"/>
          <w:sz w:val="16"/>
          <w:szCs w:val="16"/>
          <w:shd w:val="clear" w:color="auto" w:fill="FFFFFF"/>
        </w:rPr>
        <w:t>10.1136/eb-2017-102630</w:t>
      </w:r>
    </w:p>
  </w:footnote>
  <w:footnote w:id="45">
    <w:p w14:paraId="3FD38487" w14:textId="77777777" w:rsidR="007647B4" w:rsidRPr="007647B4" w:rsidRDefault="007647B4" w:rsidP="004F0418">
      <w:pPr>
        <w:pStyle w:val="FootnoteText"/>
        <w:rPr>
          <w:rFonts w:asciiTheme="minorHAnsi" w:hAnsiTheme="minorHAnsi" w:cstheme="minorHAnsi"/>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Style w:val="hlfld-contribauthor"/>
          <w:rFonts w:asciiTheme="minorHAnsi" w:hAnsiTheme="minorHAnsi" w:cstheme="minorHAnsi"/>
          <w:color w:val="333333"/>
          <w:sz w:val="16"/>
          <w:szCs w:val="16"/>
          <w:shd w:val="clear" w:color="auto" w:fill="FFFFFF"/>
        </w:rPr>
        <w:t>D'Souza, </w:t>
      </w:r>
      <w:r w:rsidRPr="007647B4">
        <w:rPr>
          <w:rStyle w:val="nlmgiven-names"/>
          <w:rFonts w:asciiTheme="minorHAnsi" w:hAnsiTheme="minorHAnsi" w:cstheme="minorHAnsi"/>
          <w:color w:val="333333"/>
          <w:sz w:val="16"/>
          <w:szCs w:val="16"/>
          <w:shd w:val="clear" w:color="auto" w:fill="FFFFFF"/>
        </w:rPr>
        <w:t>D.C.</w:t>
      </w:r>
      <w:r w:rsidRPr="007647B4">
        <w:rPr>
          <w:rStyle w:val="ref-overlay"/>
          <w:rFonts w:asciiTheme="minorHAnsi" w:hAnsiTheme="minorHAnsi" w:cstheme="minorHAnsi"/>
          <w:color w:val="333333"/>
          <w:sz w:val="16"/>
          <w:szCs w:val="16"/>
          <w:shd w:val="clear" w:color="auto" w:fill="FFFFFF"/>
        </w:rPr>
        <w:t>, </w:t>
      </w:r>
      <w:r w:rsidRPr="007647B4">
        <w:rPr>
          <w:rStyle w:val="hlfld-contribauthor"/>
          <w:rFonts w:asciiTheme="minorHAnsi" w:hAnsiTheme="minorHAnsi" w:cstheme="minorHAnsi"/>
          <w:color w:val="333333"/>
          <w:sz w:val="16"/>
          <w:szCs w:val="16"/>
          <w:shd w:val="clear" w:color="auto" w:fill="FFFFFF"/>
        </w:rPr>
        <w:t>Perry, </w:t>
      </w:r>
      <w:r w:rsidRPr="007647B4">
        <w:rPr>
          <w:rStyle w:val="nlmgiven-names"/>
          <w:rFonts w:asciiTheme="minorHAnsi" w:hAnsiTheme="minorHAnsi" w:cstheme="minorHAnsi"/>
          <w:color w:val="333333"/>
          <w:sz w:val="16"/>
          <w:szCs w:val="16"/>
          <w:shd w:val="clear" w:color="auto" w:fill="FFFFFF"/>
        </w:rPr>
        <w:t>E.</w:t>
      </w:r>
      <w:r w:rsidRPr="007647B4">
        <w:rPr>
          <w:rStyle w:val="ref-overlay"/>
          <w:rFonts w:asciiTheme="minorHAnsi" w:hAnsiTheme="minorHAnsi" w:cstheme="minorHAnsi"/>
          <w:color w:val="333333"/>
          <w:sz w:val="16"/>
          <w:szCs w:val="16"/>
          <w:shd w:val="clear" w:color="auto" w:fill="FFFFFF"/>
        </w:rPr>
        <w:t>, </w:t>
      </w:r>
      <w:r w:rsidRPr="007647B4">
        <w:rPr>
          <w:rStyle w:val="hlfld-contribauthor"/>
          <w:rFonts w:asciiTheme="minorHAnsi" w:hAnsiTheme="minorHAnsi" w:cstheme="minorHAnsi"/>
          <w:color w:val="333333"/>
          <w:sz w:val="16"/>
          <w:szCs w:val="16"/>
          <w:shd w:val="clear" w:color="auto" w:fill="FFFFFF"/>
        </w:rPr>
        <w:t>MacDougall, </w:t>
      </w:r>
      <w:r w:rsidRPr="007647B4">
        <w:rPr>
          <w:rStyle w:val="nlmgiven-names"/>
          <w:rFonts w:asciiTheme="minorHAnsi" w:hAnsiTheme="minorHAnsi" w:cstheme="minorHAnsi"/>
          <w:color w:val="333333"/>
          <w:sz w:val="16"/>
          <w:szCs w:val="16"/>
          <w:shd w:val="clear" w:color="auto" w:fill="FFFFFF"/>
        </w:rPr>
        <w:t>L.</w:t>
      </w:r>
      <w:r w:rsidRPr="007647B4">
        <w:rPr>
          <w:rStyle w:val="ref-overlay"/>
          <w:rFonts w:asciiTheme="minorHAnsi" w:hAnsiTheme="minorHAnsi" w:cstheme="minorHAnsi"/>
          <w:color w:val="333333"/>
          <w:sz w:val="16"/>
          <w:szCs w:val="16"/>
          <w:shd w:val="clear" w:color="auto" w:fill="FFFFFF"/>
        </w:rPr>
        <w:t>, </w:t>
      </w:r>
      <w:r w:rsidRPr="007647B4">
        <w:rPr>
          <w:rStyle w:val="hlfld-contribauthor"/>
          <w:rFonts w:asciiTheme="minorHAnsi" w:hAnsiTheme="minorHAnsi" w:cstheme="minorHAnsi"/>
          <w:color w:val="333333"/>
          <w:sz w:val="16"/>
          <w:szCs w:val="16"/>
          <w:shd w:val="clear" w:color="auto" w:fill="FFFFFF"/>
        </w:rPr>
        <w:t>Ammerman, </w:t>
      </w:r>
      <w:r w:rsidRPr="007647B4">
        <w:rPr>
          <w:rStyle w:val="nlmgiven-names"/>
          <w:rFonts w:asciiTheme="minorHAnsi" w:hAnsiTheme="minorHAnsi" w:cstheme="minorHAnsi"/>
          <w:color w:val="333333"/>
          <w:sz w:val="16"/>
          <w:szCs w:val="16"/>
          <w:shd w:val="clear" w:color="auto" w:fill="FFFFFF"/>
        </w:rPr>
        <w:t>Y.</w:t>
      </w:r>
      <w:r w:rsidRPr="007647B4">
        <w:rPr>
          <w:rStyle w:val="ref-overlay"/>
          <w:rFonts w:asciiTheme="minorHAnsi" w:hAnsiTheme="minorHAnsi" w:cstheme="minorHAnsi"/>
          <w:color w:val="333333"/>
          <w:sz w:val="16"/>
          <w:szCs w:val="16"/>
          <w:shd w:val="clear" w:color="auto" w:fill="FFFFFF"/>
        </w:rPr>
        <w:t>, </w:t>
      </w:r>
      <w:r w:rsidRPr="007647B4">
        <w:rPr>
          <w:rStyle w:val="hlfld-contribauthor"/>
          <w:rFonts w:asciiTheme="minorHAnsi" w:hAnsiTheme="minorHAnsi" w:cstheme="minorHAnsi"/>
          <w:color w:val="333333"/>
          <w:sz w:val="16"/>
          <w:szCs w:val="16"/>
          <w:shd w:val="clear" w:color="auto" w:fill="FFFFFF"/>
        </w:rPr>
        <w:t>Cooper, </w:t>
      </w:r>
      <w:r w:rsidRPr="007647B4">
        <w:rPr>
          <w:rStyle w:val="nlmgiven-names"/>
          <w:rFonts w:asciiTheme="minorHAnsi" w:hAnsiTheme="minorHAnsi" w:cstheme="minorHAnsi"/>
          <w:color w:val="333333"/>
          <w:sz w:val="16"/>
          <w:szCs w:val="16"/>
          <w:shd w:val="clear" w:color="auto" w:fill="FFFFFF"/>
        </w:rPr>
        <w:t>T.</w:t>
      </w:r>
      <w:r w:rsidRPr="007647B4">
        <w:rPr>
          <w:rStyle w:val="ref-overlay"/>
          <w:rFonts w:asciiTheme="minorHAnsi" w:hAnsiTheme="minorHAnsi" w:cstheme="minorHAnsi"/>
          <w:color w:val="333333"/>
          <w:sz w:val="16"/>
          <w:szCs w:val="16"/>
          <w:shd w:val="clear" w:color="auto" w:fill="FFFFFF"/>
        </w:rPr>
        <w:t>, </w:t>
      </w:r>
      <w:r w:rsidRPr="007647B4">
        <w:rPr>
          <w:rStyle w:val="hlfld-contribauthor"/>
          <w:rFonts w:asciiTheme="minorHAnsi" w:hAnsiTheme="minorHAnsi" w:cstheme="minorHAnsi"/>
          <w:color w:val="333333"/>
          <w:sz w:val="16"/>
          <w:szCs w:val="16"/>
          <w:shd w:val="clear" w:color="auto" w:fill="FFFFFF"/>
        </w:rPr>
        <w:t>Wu, </w:t>
      </w:r>
      <w:r w:rsidRPr="007647B4">
        <w:rPr>
          <w:rStyle w:val="nlmgiven-names"/>
          <w:rFonts w:asciiTheme="minorHAnsi" w:hAnsiTheme="minorHAnsi" w:cstheme="minorHAnsi"/>
          <w:color w:val="333333"/>
          <w:sz w:val="16"/>
          <w:szCs w:val="16"/>
          <w:shd w:val="clear" w:color="auto" w:fill="FFFFFF"/>
        </w:rPr>
        <w:t>Y. T.</w:t>
      </w:r>
      <w:r w:rsidRPr="007647B4">
        <w:rPr>
          <w:rStyle w:val="ref-overlay"/>
          <w:rFonts w:asciiTheme="minorHAnsi" w:hAnsiTheme="minorHAnsi" w:cstheme="minorHAnsi"/>
          <w:color w:val="333333"/>
          <w:sz w:val="16"/>
          <w:szCs w:val="16"/>
          <w:shd w:val="clear" w:color="auto" w:fill="FFFFFF"/>
        </w:rPr>
        <w:t>, … </w:t>
      </w:r>
      <w:r w:rsidRPr="007647B4">
        <w:rPr>
          <w:rStyle w:val="hlfld-contribauthor"/>
          <w:rFonts w:asciiTheme="minorHAnsi" w:hAnsiTheme="minorHAnsi" w:cstheme="minorHAnsi"/>
          <w:color w:val="333333"/>
          <w:sz w:val="16"/>
          <w:szCs w:val="16"/>
          <w:shd w:val="clear" w:color="auto" w:fill="FFFFFF"/>
        </w:rPr>
        <w:t>Krystal, </w:t>
      </w:r>
      <w:r w:rsidRPr="007647B4">
        <w:rPr>
          <w:rStyle w:val="nlmgiven-names"/>
          <w:rFonts w:asciiTheme="minorHAnsi" w:hAnsiTheme="minorHAnsi" w:cstheme="minorHAnsi"/>
          <w:color w:val="333333"/>
          <w:sz w:val="16"/>
          <w:szCs w:val="16"/>
          <w:shd w:val="clear" w:color="auto" w:fill="FFFFFF"/>
        </w:rPr>
        <w:t>J. H.</w:t>
      </w:r>
      <w:r w:rsidRPr="007647B4">
        <w:rPr>
          <w:rStyle w:val="ref-overlay"/>
          <w:rFonts w:asciiTheme="minorHAnsi" w:hAnsiTheme="minorHAnsi" w:cstheme="minorHAnsi"/>
          <w:color w:val="333333"/>
          <w:sz w:val="16"/>
          <w:szCs w:val="16"/>
          <w:shd w:val="clear" w:color="auto" w:fill="FFFFFF"/>
        </w:rPr>
        <w:t> (</w:t>
      </w:r>
      <w:r w:rsidRPr="007647B4">
        <w:rPr>
          <w:rStyle w:val="nlmyear"/>
          <w:rFonts w:asciiTheme="minorHAnsi" w:hAnsiTheme="minorHAnsi" w:cstheme="minorHAnsi"/>
          <w:color w:val="333333"/>
          <w:sz w:val="16"/>
          <w:szCs w:val="16"/>
          <w:shd w:val="clear" w:color="auto" w:fill="FFFFFF"/>
        </w:rPr>
        <w:t>2004</w:t>
      </w:r>
      <w:r w:rsidRPr="007647B4">
        <w:rPr>
          <w:rStyle w:val="ref-overlay"/>
          <w:rFonts w:asciiTheme="minorHAnsi" w:hAnsiTheme="minorHAnsi" w:cstheme="minorHAnsi"/>
          <w:color w:val="333333"/>
          <w:sz w:val="16"/>
          <w:szCs w:val="16"/>
          <w:shd w:val="clear" w:color="auto" w:fill="FFFFFF"/>
        </w:rPr>
        <w:t>). </w:t>
      </w:r>
      <w:r w:rsidRPr="007647B4">
        <w:rPr>
          <w:rStyle w:val="nlmarticle-title"/>
          <w:rFonts w:asciiTheme="minorHAnsi" w:hAnsiTheme="minorHAnsi" w:cstheme="minorHAnsi"/>
          <w:color w:val="333333"/>
          <w:sz w:val="16"/>
          <w:szCs w:val="16"/>
          <w:shd w:val="clear" w:color="auto" w:fill="FFFFFF"/>
        </w:rPr>
        <w:t>The psychotomimetic effects of intravenous delta-9-tetrahydrocannabinol in healthy individuals: implications for psychosis</w:t>
      </w:r>
      <w:r w:rsidRPr="007647B4">
        <w:rPr>
          <w:rStyle w:val="ref-overlay"/>
          <w:rFonts w:asciiTheme="minorHAnsi" w:hAnsiTheme="minorHAnsi" w:cstheme="minorHAnsi"/>
          <w:color w:val="333333"/>
          <w:sz w:val="16"/>
          <w:szCs w:val="16"/>
          <w:shd w:val="clear" w:color="auto" w:fill="FFFFFF"/>
        </w:rPr>
        <w:t>. Neuropsychopharmacology, 29, </w:t>
      </w:r>
      <w:r w:rsidRPr="007647B4">
        <w:rPr>
          <w:rStyle w:val="nlmfpage"/>
          <w:rFonts w:asciiTheme="minorHAnsi" w:eastAsiaTheme="minorEastAsia" w:hAnsiTheme="minorHAnsi" w:cstheme="minorHAnsi"/>
          <w:color w:val="333333"/>
          <w:sz w:val="16"/>
          <w:szCs w:val="16"/>
          <w:shd w:val="clear" w:color="auto" w:fill="FFFFFF"/>
        </w:rPr>
        <w:t>1558</w:t>
      </w:r>
      <w:r w:rsidRPr="007647B4">
        <w:rPr>
          <w:rStyle w:val="ref-overlay"/>
          <w:rFonts w:asciiTheme="minorHAnsi" w:hAnsiTheme="minorHAnsi" w:cstheme="minorHAnsi"/>
          <w:color w:val="333333"/>
          <w:sz w:val="16"/>
          <w:szCs w:val="16"/>
          <w:shd w:val="clear" w:color="auto" w:fill="FFFFFF"/>
        </w:rPr>
        <w:t>–</w:t>
      </w:r>
      <w:r w:rsidRPr="007647B4">
        <w:rPr>
          <w:rStyle w:val="nlmlpage"/>
          <w:rFonts w:asciiTheme="minorHAnsi" w:hAnsiTheme="minorHAnsi" w:cstheme="minorHAnsi"/>
          <w:color w:val="333333"/>
          <w:sz w:val="16"/>
          <w:szCs w:val="16"/>
          <w:shd w:val="clear" w:color="auto" w:fill="FFFFFF"/>
        </w:rPr>
        <w:t>1572</w:t>
      </w:r>
      <w:r w:rsidRPr="007647B4">
        <w:rPr>
          <w:rStyle w:val="ref-overlay"/>
          <w:rFonts w:asciiTheme="minorHAnsi" w:hAnsiTheme="minorHAnsi" w:cstheme="minorHAnsi"/>
          <w:color w:val="333333"/>
          <w:sz w:val="16"/>
          <w:szCs w:val="16"/>
          <w:shd w:val="clear" w:color="auto" w:fill="FFFFFF"/>
        </w:rPr>
        <w:t>. doi:</w:t>
      </w:r>
      <w:hyperlink r:id="rId12" w:tgtFrame="_blank" w:history="1">
        <w:r w:rsidRPr="007647B4">
          <w:rPr>
            <w:rStyle w:val="Hyperlink"/>
            <w:rFonts w:asciiTheme="minorHAnsi" w:hAnsiTheme="minorHAnsi" w:cstheme="minorHAnsi"/>
            <w:color w:val="10147E"/>
            <w:sz w:val="16"/>
            <w:szCs w:val="16"/>
          </w:rPr>
          <w:t>10.1038/sj.npp.1300496</w:t>
        </w:r>
      </w:hyperlink>
    </w:p>
  </w:footnote>
  <w:footnote w:id="46">
    <w:p w14:paraId="308FF421" w14:textId="32083A6D" w:rsidR="007647B4" w:rsidRPr="007647B4" w:rsidRDefault="007647B4" w:rsidP="004F0418">
      <w:pPr>
        <w:pStyle w:val="FootnoteText"/>
        <w:rPr>
          <w:rFonts w:asciiTheme="minorHAnsi" w:hAnsiTheme="minorHAnsi" w:cstheme="minorHAnsi"/>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Style w:val="hlfld-contribauthor"/>
          <w:rFonts w:asciiTheme="minorHAnsi" w:hAnsiTheme="minorHAnsi" w:cstheme="minorHAnsi"/>
          <w:color w:val="333333"/>
          <w:sz w:val="16"/>
          <w:szCs w:val="16"/>
          <w:shd w:val="clear" w:color="auto" w:fill="FFFFFF"/>
        </w:rPr>
        <w:t>Kowal, </w:t>
      </w:r>
      <w:r w:rsidRPr="007647B4">
        <w:rPr>
          <w:rStyle w:val="nlmgiven-names"/>
          <w:rFonts w:asciiTheme="minorHAnsi" w:hAnsiTheme="minorHAnsi" w:cstheme="minorHAnsi"/>
          <w:color w:val="333333"/>
          <w:sz w:val="16"/>
          <w:szCs w:val="16"/>
          <w:shd w:val="clear" w:color="auto" w:fill="FFFFFF"/>
        </w:rPr>
        <w:t>M. A.</w:t>
      </w:r>
      <w:r w:rsidRPr="007647B4">
        <w:rPr>
          <w:rStyle w:val="ref-overlay"/>
          <w:rFonts w:asciiTheme="minorHAnsi" w:hAnsiTheme="minorHAnsi" w:cstheme="minorHAnsi"/>
          <w:color w:val="333333"/>
          <w:sz w:val="16"/>
          <w:szCs w:val="16"/>
          <w:shd w:val="clear" w:color="auto" w:fill="FFFFFF"/>
        </w:rPr>
        <w:t>, </w:t>
      </w:r>
      <w:proofErr w:type="spellStart"/>
      <w:r w:rsidRPr="007647B4">
        <w:rPr>
          <w:rStyle w:val="hlfld-contribauthor"/>
          <w:rFonts w:asciiTheme="minorHAnsi" w:hAnsiTheme="minorHAnsi" w:cstheme="minorHAnsi"/>
          <w:color w:val="333333"/>
          <w:sz w:val="16"/>
          <w:szCs w:val="16"/>
          <w:shd w:val="clear" w:color="auto" w:fill="FFFFFF"/>
        </w:rPr>
        <w:t>Hazekamp</w:t>
      </w:r>
      <w:proofErr w:type="spellEnd"/>
      <w:r w:rsidRPr="007647B4">
        <w:rPr>
          <w:rStyle w:val="hlfld-contribauthor"/>
          <w:rFonts w:asciiTheme="minorHAnsi" w:hAnsiTheme="minorHAnsi" w:cstheme="minorHAnsi"/>
          <w:color w:val="333333"/>
          <w:sz w:val="16"/>
          <w:szCs w:val="16"/>
          <w:shd w:val="clear" w:color="auto" w:fill="FFFFFF"/>
        </w:rPr>
        <w:t>, </w:t>
      </w:r>
      <w:r w:rsidRPr="007647B4">
        <w:rPr>
          <w:rStyle w:val="nlmgiven-names"/>
          <w:rFonts w:asciiTheme="minorHAnsi" w:hAnsiTheme="minorHAnsi" w:cstheme="minorHAnsi"/>
          <w:color w:val="333333"/>
          <w:sz w:val="16"/>
          <w:szCs w:val="16"/>
          <w:shd w:val="clear" w:color="auto" w:fill="FFFFFF"/>
        </w:rPr>
        <w:t>A.</w:t>
      </w:r>
      <w:r w:rsidRPr="007647B4">
        <w:rPr>
          <w:rStyle w:val="ref-overlay"/>
          <w:rFonts w:asciiTheme="minorHAnsi" w:hAnsiTheme="minorHAnsi" w:cstheme="minorHAnsi"/>
          <w:color w:val="333333"/>
          <w:sz w:val="16"/>
          <w:szCs w:val="16"/>
          <w:shd w:val="clear" w:color="auto" w:fill="FFFFFF"/>
        </w:rPr>
        <w:t>, </w:t>
      </w:r>
      <w:proofErr w:type="spellStart"/>
      <w:r w:rsidRPr="007647B4">
        <w:rPr>
          <w:rStyle w:val="hlfld-contribauthor"/>
          <w:rFonts w:asciiTheme="minorHAnsi" w:hAnsiTheme="minorHAnsi" w:cstheme="minorHAnsi"/>
          <w:color w:val="333333"/>
          <w:sz w:val="16"/>
          <w:szCs w:val="16"/>
          <w:shd w:val="clear" w:color="auto" w:fill="FFFFFF"/>
        </w:rPr>
        <w:t>Colzato</w:t>
      </w:r>
      <w:proofErr w:type="spellEnd"/>
      <w:r w:rsidRPr="007647B4">
        <w:rPr>
          <w:rStyle w:val="hlfld-contribauthor"/>
          <w:rFonts w:asciiTheme="minorHAnsi" w:hAnsiTheme="minorHAnsi" w:cstheme="minorHAnsi"/>
          <w:color w:val="333333"/>
          <w:sz w:val="16"/>
          <w:szCs w:val="16"/>
          <w:shd w:val="clear" w:color="auto" w:fill="FFFFFF"/>
        </w:rPr>
        <w:t>, </w:t>
      </w:r>
      <w:r w:rsidRPr="007647B4">
        <w:rPr>
          <w:rStyle w:val="nlmgiven-names"/>
          <w:rFonts w:asciiTheme="minorHAnsi" w:hAnsiTheme="minorHAnsi" w:cstheme="minorHAnsi"/>
          <w:color w:val="333333"/>
          <w:sz w:val="16"/>
          <w:szCs w:val="16"/>
          <w:shd w:val="clear" w:color="auto" w:fill="FFFFFF"/>
        </w:rPr>
        <w:t>L. S.</w:t>
      </w:r>
      <w:r w:rsidRPr="007647B4">
        <w:rPr>
          <w:rStyle w:val="ref-overlay"/>
          <w:rFonts w:asciiTheme="minorHAnsi" w:hAnsiTheme="minorHAnsi" w:cstheme="minorHAnsi"/>
          <w:color w:val="333333"/>
          <w:sz w:val="16"/>
          <w:szCs w:val="16"/>
          <w:shd w:val="clear" w:color="auto" w:fill="FFFFFF"/>
        </w:rPr>
        <w:t>, </w:t>
      </w:r>
      <w:r w:rsidRPr="007647B4">
        <w:rPr>
          <w:rStyle w:val="hlfld-contribauthor"/>
          <w:rFonts w:asciiTheme="minorHAnsi" w:hAnsiTheme="minorHAnsi" w:cstheme="minorHAnsi"/>
          <w:color w:val="333333"/>
          <w:sz w:val="16"/>
          <w:szCs w:val="16"/>
          <w:shd w:val="clear" w:color="auto" w:fill="FFFFFF"/>
        </w:rPr>
        <w:t xml:space="preserve">van </w:t>
      </w:r>
      <w:proofErr w:type="spellStart"/>
      <w:r w:rsidRPr="007647B4">
        <w:rPr>
          <w:rStyle w:val="hlfld-contribauthor"/>
          <w:rFonts w:asciiTheme="minorHAnsi" w:hAnsiTheme="minorHAnsi" w:cstheme="minorHAnsi"/>
          <w:color w:val="333333"/>
          <w:sz w:val="16"/>
          <w:szCs w:val="16"/>
          <w:shd w:val="clear" w:color="auto" w:fill="FFFFFF"/>
        </w:rPr>
        <w:t>Steenbergen</w:t>
      </w:r>
      <w:proofErr w:type="spellEnd"/>
      <w:r w:rsidRPr="007647B4">
        <w:rPr>
          <w:rStyle w:val="hlfld-contribauthor"/>
          <w:rFonts w:asciiTheme="minorHAnsi" w:hAnsiTheme="minorHAnsi" w:cstheme="minorHAnsi"/>
          <w:color w:val="333333"/>
          <w:sz w:val="16"/>
          <w:szCs w:val="16"/>
          <w:shd w:val="clear" w:color="auto" w:fill="FFFFFF"/>
        </w:rPr>
        <w:t>, </w:t>
      </w:r>
      <w:r w:rsidRPr="007647B4">
        <w:rPr>
          <w:rStyle w:val="nlmgiven-names"/>
          <w:rFonts w:asciiTheme="minorHAnsi" w:hAnsiTheme="minorHAnsi" w:cstheme="minorHAnsi"/>
          <w:color w:val="333333"/>
          <w:sz w:val="16"/>
          <w:szCs w:val="16"/>
          <w:shd w:val="clear" w:color="auto" w:fill="FFFFFF"/>
        </w:rPr>
        <w:t>H.</w:t>
      </w:r>
      <w:r w:rsidRPr="007647B4">
        <w:rPr>
          <w:rStyle w:val="ref-overlay"/>
          <w:rFonts w:asciiTheme="minorHAnsi" w:hAnsiTheme="minorHAnsi" w:cstheme="minorHAnsi"/>
          <w:color w:val="333333"/>
          <w:sz w:val="16"/>
          <w:szCs w:val="16"/>
          <w:shd w:val="clear" w:color="auto" w:fill="FFFFFF"/>
        </w:rPr>
        <w:t>, </w:t>
      </w:r>
      <w:r w:rsidRPr="007647B4">
        <w:rPr>
          <w:rStyle w:val="hlfld-contribauthor"/>
          <w:rFonts w:asciiTheme="minorHAnsi" w:hAnsiTheme="minorHAnsi" w:cstheme="minorHAnsi"/>
          <w:color w:val="333333"/>
          <w:sz w:val="16"/>
          <w:szCs w:val="16"/>
          <w:shd w:val="clear" w:color="auto" w:fill="FFFFFF"/>
        </w:rPr>
        <w:t>van der Wee, </w:t>
      </w:r>
      <w:r w:rsidRPr="007647B4">
        <w:rPr>
          <w:rStyle w:val="nlmgiven-names"/>
          <w:rFonts w:asciiTheme="minorHAnsi" w:hAnsiTheme="minorHAnsi" w:cstheme="minorHAnsi"/>
          <w:color w:val="333333"/>
          <w:sz w:val="16"/>
          <w:szCs w:val="16"/>
          <w:shd w:val="clear" w:color="auto" w:fill="FFFFFF"/>
        </w:rPr>
        <w:t>N. J.</w:t>
      </w:r>
      <w:r w:rsidRPr="007647B4">
        <w:rPr>
          <w:rStyle w:val="ref-overlay"/>
          <w:rFonts w:asciiTheme="minorHAnsi" w:hAnsiTheme="minorHAnsi" w:cstheme="minorHAnsi"/>
          <w:color w:val="333333"/>
          <w:sz w:val="16"/>
          <w:szCs w:val="16"/>
          <w:shd w:val="clear" w:color="auto" w:fill="FFFFFF"/>
        </w:rPr>
        <w:t>, </w:t>
      </w:r>
      <w:proofErr w:type="spellStart"/>
      <w:r w:rsidRPr="007647B4">
        <w:rPr>
          <w:rStyle w:val="hlfld-contribauthor"/>
          <w:rFonts w:asciiTheme="minorHAnsi" w:hAnsiTheme="minorHAnsi" w:cstheme="minorHAnsi"/>
          <w:color w:val="333333"/>
          <w:sz w:val="16"/>
          <w:szCs w:val="16"/>
          <w:shd w:val="clear" w:color="auto" w:fill="FFFFFF"/>
        </w:rPr>
        <w:t>Durieux</w:t>
      </w:r>
      <w:proofErr w:type="spellEnd"/>
      <w:r w:rsidRPr="007647B4">
        <w:rPr>
          <w:rStyle w:val="hlfld-contribauthor"/>
          <w:rFonts w:asciiTheme="minorHAnsi" w:hAnsiTheme="minorHAnsi" w:cstheme="minorHAnsi"/>
          <w:color w:val="333333"/>
          <w:sz w:val="16"/>
          <w:szCs w:val="16"/>
          <w:shd w:val="clear" w:color="auto" w:fill="FFFFFF"/>
        </w:rPr>
        <w:t>, </w:t>
      </w:r>
      <w:r w:rsidRPr="007647B4">
        <w:rPr>
          <w:rStyle w:val="nlmgiven-names"/>
          <w:rFonts w:asciiTheme="minorHAnsi" w:hAnsiTheme="minorHAnsi" w:cstheme="minorHAnsi"/>
          <w:color w:val="333333"/>
          <w:sz w:val="16"/>
          <w:szCs w:val="16"/>
          <w:shd w:val="clear" w:color="auto" w:fill="FFFFFF"/>
        </w:rPr>
        <w:t>J.</w:t>
      </w:r>
      <w:r w:rsidRPr="007647B4">
        <w:rPr>
          <w:rStyle w:val="ref-overlay"/>
          <w:rFonts w:asciiTheme="minorHAnsi" w:hAnsiTheme="minorHAnsi" w:cstheme="minorHAnsi"/>
          <w:color w:val="333333"/>
          <w:sz w:val="16"/>
          <w:szCs w:val="16"/>
          <w:shd w:val="clear" w:color="auto" w:fill="FFFFFF"/>
        </w:rPr>
        <w:t> </w:t>
      </w:r>
      <w:proofErr w:type="spellStart"/>
      <w:r w:rsidRPr="007647B4">
        <w:rPr>
          <w:rStyle w:val="hlfld-contribauthor"/>
          <w:rFonts w:asciiTheme="minorHAnsi" w:hAnsiTheme="minorHAnsi" w:cstheme="minorHAnsi"/>
          <w:color w:val="333333"/>
          <w:sz w:val="16"/>
          <w:szCs w:val="16"/>
          <w:shd w:val="clear" w:color="auto" w:fill="FFFFFF"/>
        </w:rPr>
        <w:t>Hommel</w:t>
      </w:r>
      <w:proofErr w:type="spellEnd"/>
      <w:r w:rsidRPr="007647B4">
        <w:rPr>
          <w:rStyle w:val="hlfld-contribauthor"/>
          <w:rFonts w:asciiTheme="minorHAnsi" w:hAnsiTheme="minorHAnsi" w:cstheme="minorHAnsi"/>
          <w:color w:val="333333"/>
          <w:sz w:val="16"/>
          <w:szCs w:val="16"/>
          <w:shd w:val="clear" w:color="auto" w:fill="FFFFFF"/>
        </w:rPr>
        <w:t>, </w:t>
      </w:r>
      <w:r w:rsidRPr="007647B4">
        <w:rPr>
          <w:rStyle w:val="nlmgiven-names"/>
          <w:rFonts w:asciiTheme="minorHAnsi" w:hAnsiTheme="minorHAnsi" w:cstheme="minorHAnsi"/>
          <w:color w:val="333333"/>
          <w:sz w:val="16"/>
          <w:szCs w:val="16"/>
          <w:shd w:val="clear" w:color="auto" w:fill="FFFFFF"/>
        </w:rPr>
        <w:t>B.</w:t>
      </w:r>
      <w:r w:rsidRPr="007647B4">
        <w:rPr>
          <w:rStyle w:val="ref-overlay"/>
          <w:rFonts w:asciiTheme="minorHAnsi" w:hAnsiTheme="minorHAnsi" w:cstheme="minorHAnsi"/>
          <w:color w:val="333333"/>
          <w:sz w:val="16"/>
          <w:szCs w:val="16"/>
          <w:shd w:val="clear" w:color="auto" w:fill="FFFFFF"/>
        </w:rPr>
        <w:t> (</w:t>
      </w:r>
      <w:r w:rsidRPr="007647B4">
        <w:rPr>
          <w:rStyle w:val="nlmyear"/>
          <w:rFonts w:asciiTheme="minorHAnsi" w:hAnsiTheme="minorHAnsi" w:cstheme="minorHAnsi"/>
          <w:color w:val="333333"/>
          <w:sz w:val="16"/>
          <w:szCs w:val="16"/>
          <w:shd w:val="clear" w:color="auto" w:fill="FFFFFF"/>
        </w:rPr>
        <w:t>2015</w:t>
      </w:r>
      <w:r w:rsidRPr="007647B4">
        <w:rPr>
          <w:rStyle w:val="ref-overlay"/>
          <w:rFonts w:asciiTheme="minorHAnsi" w:hAnsiTheme="minorHAnsi" w:cstheme="minorHAnsi"/>
          <w:color w:val="333333"/>
          <w:sz w:val="16"/>
          <w:szCs w:val="16"/>
          <w:shd w:val="clear" w:color="auto" w:fill="FFFFFF"/>
        </w:rPr>
        <w:t>). </w:t>
      </w:r>
      <w:r w:rsidRPr="007647B4">
        <w:rPr>
          <w:rStyle w:val="nlmarticle-title"/>
          <w:rFonts w:asciiTheme="minorHAnsi" w:hAnsiTheme="minorHAnsi" w:cstheme="minorHAnsi"/>
          <w:color w:val="333333"/>
          <w:sz w:val="16"/>
          <w:szCs w:val="16"/>
          <w:shd w:val="clear" w:color="auto" w:fill="FFFFFF"/>
        </w:rPr>
        <w:t>Cannabis and creativity: highly potent cannabis impairs divergent thinking in regular cannabis users</w:t>
      </w:r>
      <w:r w:rsidRPr="007647B4">
        <w:rPr>
          <w:rStyle w:val="ref-overlay"/>
          <w:rFonts w:asciiTheme="minorHAnsi" w:hAnsiTheme="minorHAnsi" w:cstheme="minorHAnsi"/>
          <w:color w:val="333333"/>
          <w:sz w:val="16"/>
          <w:szCs w:val="16"/>
          <w:shd w:val="clear" w:color="auto" w:fill="FFFFFF"/>
        </w:rPr>
        <w:t>. Psychopharmacology (</w:t>
      </w:r>
      <w:proofErr w:type="spellStart"/>
      <w:r w:rsidRPr="007647B4">
        <w:rPr>
          <w:rStyle w:val="ref-overlay"/>
          <w:rFonts w:asciiTheme="minorHAnsi" w:hAnsiTheme="minorHAnsi" w:cstheme="minorHAnsi"/>
          <w:color w:val="333333"/>
          <w:sz w:val="16"/>
          <w:szCs w:val="16"/>
          <w:shd w:val="clear" w:color="auto" w:fill="FFFFFF"/>
        </w:rPr>
        <w:t>Berl</w:t>
      </w:r>
      <w:proofErr w:type="spellEnd"/>
      <w:r w:rsidRPr="007647B4">
        <w:rPr>
          <w:rStyle w:val="ref-overlay"/>
          <w:rFonts w:asciiTheme="minorHAnsi" w:hAnsiTheme="minorHAnsi" w:cstheme="minorHAnsi"/>
          <w:color w:val="333333"/>
          <w:sz w:val="16"/>
          <w:szCs w:val="16"/>
          <w:shd w:val="clear" w:color="auto" w:fill="FFFFFF"/>
        </w:rPr>
        <w:t>), 232, </w:t>
      </w:r>
      <w:r w:rsidRPr="007647B4">
        <w:rPr>
          <w:rStyle w:val="nlmfpage"/>
          <w:rFonts w:asciiTheme="minorHAnsi" w:eastAsiaTheme="minorEastAsia" w:hAnsiTheme="minorHAnsi" w:cstheme="minorHAnsi"/>
          <w:color w:val="333333"/>
          <w:sz w:val="16"/>
          <w:szCs w:val="16"/>
          <w:shd w:val="clear" w:color="auto" w:fill="FFFFFF"/>
        </w:rPr>
        <w:t>1123</w:t>
      </w:r>
      <w:r w:rsidRPr="007647B4">
        <w:rPr>
          <w:rStyle w:val="ref-overlay"/>
          <w:rFonts w:asciiTheme="minorHAnsi" w:hAnsiTheme="minorHAnsi" w:cstheme="minorHAnsi"/>
          <w:color w:val="333333"/>
          <w:sz w:val="16"/>
          <w:szCs w:val="16"/>
          <w:shd w:val="clear" w:color="auto" w:fill="FFFFFF"/>
        </w:rPr>
        <w:t>–</w:t>
      </w:r>
      <w:r w:rsidRPr="007647B4">
        <w:rPr>
          <w:rStyle w:val="nlmlpage"/>
          <w:rFonts w:asciiTheme="minorHAnsi" w:hAnsiTheme="minorHAnsi" w:cstheme="minorHAnsi"/>
          <w:color w:val="333333"/>
          <w:sz w:val="16"/>
          <w:szCs w:val="16"/>
          <w:shd w:val="clear" w:color="auto" w:fill="FFFFFF"/>
        </w:rPr>
        <w:t>1134</w:t>
      </w:r>
      <w:r w:rsidRPr="007647B4">
        <w:rPr>
          <w:rStyle w:val="ref-overlay"/>
          <w:rFonts w:asciiTheme="minorHAnsi" w:hAnsiTheme="minorHAnsi" w:cstheme="minorHAnsi"/>
          <w:color w:val="333333"/>
          <w:sz w:val="16"/>
          <w:szCs w:val="16"/>
          <w:shd w:val="clear" w:color="auto" w:fill="FFFFFF"/>
        </w:rPr>
        <w:t>. doi:</w:t>
      </w:r>
      <w:r w:rsidRPr="007647B4">
        <w:rPr>
          <w:rStyle w:val="nlmpub-id"/>
          <w:rFonts w:asciiTheme="minorHAnsi" w:hAnsiTheme="minorHAnsi" w:cstheme="minorHAnsi"/>
          <w:color w:val="333333"/>
          <w:sz w:val="16"/>
          <w:szCs w:val="16"/>
          <w:shd w:val="clear" w:color="auto" w:fill="FFFFFF"/>
        </w:rPr>
        <w:t>10.1007/s00213-014-3749-1</w:t>
      </w:r>
    </w:p>
  </w:footnote>
  <w:footnote w:id="47">
    <w:p w14:paraId="1D955B99" w14:textId="77777777" w:rsidR="007647B4" w:rsidRPr="007647B4" w:rsidRDefault="007647B4" w:rsidP="004F0418">
      <w:pPr>
        <w:pStyle w:val="FootnoteText"/>
        <w:rPr>
          <w:rFonts w:asciiTheme="minorHAnsi" w:hAnsiTheme="minorHAnsi" w:cstheme="minorHAnsi"/>
          <w:sz w:val="16"/>
          <w:szCs w:val="16"/>
          <w:lang w:val="fr-FR"/>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proofErr w:type="spellStart"/>
      <w:r w:rsidRPr="007647B4">
        <w:rPr>
          <w:rStyle w:val="hlfld-contribauthor"/>
          <w:rFonts w:asciiTheme="minorHAnsi" w:hAnsiTheme="minorHAnsi" w:cstheme="minorHAnsi"/>
          <w:color w:val="333333"/>
          <w:sz w:val="16"/>
          <w:szCs w:val="16"/>
          <w:shd w:val="clear" w:color="auto" w:fill="FFFFFF"/>
        </w:rPr>
        <w:t>Ramaekers</w:t>
      </w:r>
      <w:proofErr w:type="spellEnd"/>
      <w:r w:rsidRPr="007647B4">
        <w:rPr>
          <w:rStyle w:val="hlfld-contribauthor"/>
          <w:rFonts w:asciiTheme="minorHAnsi" w:hAnsiTheme="minorHAnsi" w:cstheme="minorHAnsi"/>
          <w:color w:val="333333"/>
          <w:sz w:val="16"/>
          <w:szCs w:val="16"/>
          <w:shd w:val="clear" w:color="auto" w:fill="FFFFFF"/>
        </w:rPr>
        <w:t>, </w:t>
      </w:r>
      <w:r w:rsidRPr="007647B4">
        <w:rPr>
          <w:rStyle w:val="nlmgiven-names"/>
          <w:rFonts w:asciiTheme="minorHAnsi" w:hAnsiTheme="minorHAnsi" w:cstheme="minorHAnsi"/>
          <w:color w:val="333333"/>
          <w:sz w:val="16"/>
          <w:szCs w:val="16"/>
          <w:shd w:val="clear" w:color="auto" w:fill="FFFFFF"/>
        </w:rPr>
        <w:t>J. G.</w:t>
      </w:r>
      <w:r w:rsidRPr="007647B4">
        <w:rPr>
          <w:rStyle w:val="ref-overlay"/>
          <w:rFonts w:asciiTheme="minorHAnsi" w:hAnsiTheme="minorHAnsi" w:cstheme="minorHAnsi"/>
          <w:color w:val="333333"/>
          <w:sz w:val="16"/>
          <w:szCs w:val="16"/>
          <w:shd w:val="clear" w:color="auto" w:fill="FFFFFF"/>
        </w:rPr>
        <w:t>, </w:t>
      </w:r>
      <w:proofErr w:type="spellStart"/>
      <w:r w:rsidRPr="007647B4">
        <w:rPr>
          <w:rStyle w:val="hlfld-contribauthor"/>
          <w:rFonts w:asciiTheme="minorHAnsi" w:hAnsiTheme="minorHAnsi" w:cstheme="minorHAnsi"/>
          <w:color w:val="333333"/>
          <w:sz w:val="16"/>
          <w:szCs w:val="16"/>
          <w:shd w:val="clear" w:color="auto" w:fill="FFFFFF"/>
        </w:rPr>
        <w:t>Kauert</w:t>
      </w:r>
      <w:proofErr w:type="spellEnd"/>
      <w:r w:rsidRPr="007647B4">
        <w:rPr>
          <w:rStyle w:val="hlfld-contribauthor"/>
          <w:rFonts w:asciiTheme="minorHAnsi" w:hAnsiTheme="minorHAnsi" w:cstheme="minorHAnsi"/>
          <w:color w:val="333333"/>
          <w:sz w:val="16"/>
          <w:szCs w:val="16"/>
          <w:shd w:val="clear" w:color="auto" w:fill="FFFFFF"/>
        </w:rPr>
        <w:t>, </w:t>
      </w:r>
      <w:r w:rsidRPr="007647B4">
        <w:rPr>
          <w:rStyle w:val="nlmgiven-names"/>
          <w:rFonts w:asciiTheme="minorHAnsi" w:hAnsiTheme="minorHAnsi" w:cstheme="minorHAnsi"/>
          <w:color w:val="333333"/>
          <w:sz w:val="16"/>
          <w:szCs w:val="16"/>
          <w:shd w:val="clear" w:color="auto" w:fill="FFFFFF"/>
        </w:rPr>
        <w:t>G.</w:t>
      </w:r>
      <w:r w:rsidRPr="007647B4">
        <w:rPr>
          <w:rStyle w:val="ref-overlay"/>
          <w:rFonts w:asciiTheme="minorHAnsi" w:hAnsiTheme="minorHAnsi" w:cstheme="minorHAnsi"/>
          <w:color w:val="333333"/>
          <w:sz w:val="16"/>
          <w:szCs w:val="16"/>
          <w:shd w:val="clear" w:color="auto" w:fill="FFFFFF"/>
        </w:rPr>
        <w:t>, </w:t>
      </w:r>
      <w:r w:rsidRPr="007647B4">
        <w:rPr>
          <w:rStyle w:val="hlfld-contribauthor"/>
          <w:rFonts w:asciiTheme="minorHAnsi" w:hAnsiTheme="minorHAnsi" w:cstheme="minorHAnsi"/>
          <w:color w:val="333333"/>
          <w:sz w:val="16"/>
          <w:szCs w:val="16"/>
          <w:shd w:val="clear" w:color="auto" w:fill="FFFFFF"/>
        </w:rPr>
        <w:t xml:space="preserve">van </w:t>
      </w:r>
      <w:proofErr w:type="spellStart"/>
      <w:r w:rsidRPr="007647B4">
        <w:rPr>
          <w:rStyle w:val="hlfld-contribauthor"/>
          <w:rFonts w:asciiTheme="minorHAnsi" w:hAnsiTheme="minorHAnsi" w:cstheme="minorHAnsi"/>
          <w:color w:val="333333"/>
          <w:sz w:val="16"/>
          <w:szCs w:val="16"/>
          <w:shd w:val="clear" w:color="auto" w:fill="FFFFFF"/>
        </w:rPr>
        <w:t>Ruitenbeek</w:t>
      </w:r>
      <w:proofErr w:type="spellEnd"/>
      <w:r w:rsidRPr="007647B4">
        <w:rPr>
          <w:rStyle w:val="hlfld-contribauthor"/>
          <w:rFonts w:asciiTheme="minorHAnsi" w:hAnsiTheme="minorHAnsi" w:cstheme="minorHAnsi"/>
          <w:color w:val="333333"/>
          <w:sz w:val="16"/>
          <w:szCs w:val="16"/>
          <w:shd w:val="clear" w:color="auto" w:fill="FFFFFF"/>
        </w:rPr>
        <w:t>, </w:t>
      </w:r>
      <w:r w:rsidRPr="007647B4">
        <w:rPr>
          <w:rStyle w:val="nlmgiven-names"/>
          <w:rFonts w:asciiTheme="minorHAnsi" w:hAnsiTheme="minorHAnsi" w:cstheme="minorHAnsi"/>
          <w:color w:val="333333"/>
          <w:sz w:val="16"/>
          <w:szCs w:val="16"/>
          <w:shd w:val="clear" w:color="auto" w:fill="FFFFFF"/>
        </w:rPr>
        <w:t>P.</w:t>
      </w:r>
      <w:r w:rsidRPr="007647B4">
        <w:rPr>
          <w:rStyle w:val="ref-overlay"/>
          <w:rFonts w:asciiTheme="minorHAnsi" w:hAnsiTheme="minorHAnsi" w:cstheme="minorHAnsi"/>
          <w:color w:val="333333"/>
          <w:sz w:val="16"/>
          <w:szCs w:val="16"/>
          <w:shd w:val="clear" w:color="auto" w:fill="FFFFFF"/>
        </w:rPr>
        <w:t>, </w:t>
      </w:r>
      <w:proofErr w:type="spellStart"/>
      <w:r w:rsidRPr="007647B4">
        <w:rPr>
          <w:rStyle w:val="hlfld-contribauthor"/>
          <w:rFonts w:asciiTheme="minorHAnsi" w:hAnsiTheme="minorHAnsi" w:cstheme="minorHAnsi"/>
          <w:color w:val="333333"/>
          <w:sz w:val="16"/>
          <w:szCs w:val="16"/>
          <w:shd w:val="clear" w:color="auto" w:fill="FFFFFF"/>
        </w:rPr>
        <w:t>Theunissen</w:t>
      </w:r>
      <w:proofErr w:type="spellEnd"/>
      <w:r w:rsidRPr="007647B4">
        <w:rPr>
          <w:rStyle w:val="hlfld-contribauthor"/>
          <w:rFonts w:asciiTheme="minorHAnsi" w:hAnsiTheme="minorHAnsi" w:cstheme="minorHAnsi"/>
          <w:color w:val="333333"/>
          <w:sz w:val="16"/>
          <w:szCs w:val="16"/>
          <w:shd w:val="clear" w:color="auto" w:fill="FFFFFF"/>
        </w:rPr>
        <w:t>, </w:t>
      </w:r>
      <w:r w:rsidRPr="007647B4">
        <w:rPr>
          <w:rStyle w:val="nlmgiven-names"/>
          <w:rFonts w:asciiTheme="minorHAnsi" w:hAnsiTheme="minorHAnsi" w:cstheme="minorHAnsi"/>
          <w:color w:val="333333"/>
          <w:sz w:val="16"/>
          <w:szCs w:val="16"/>
          <w:shd w:val="clear" w:color="auto" w:fill="FFFFFF"/>
        </w:rPr>
        <w:t>E. L.</w:t>
      </w:r>
      <w:r w:rsidRPr="007647B4">
        <w:rPr>
          <w:rStyle w:val="ref-overlay"/>
          <w:rFonts w:asciiTheme="minorHAnsi" w:hAnsiTheme="minorHAnsi" w:cstheme="minorHAnsi"/>
          <w:color w:val="333333"/>
          <w:sz w:val="16"/>
          <w:szCs w:val="16"/>
          <w:shd w:val="clear" w:color="auto" w:fill="FFFFFF"/>
        </w:rPr>
        <w:t>, </w:t>
      </w:r>
      <w:r w:rsidRPr="007647B4">
        <w:rPr>
          <w:rStyle w:val="hlfld-contribauthor"/>
          <w:rFonts w:asciiTheme="minorHAnsi" w:hAnsiTheme="minorHAnsi" w:cstheme="minorHAnsi"/>
          <w:color w:val="333333"/>
          <w:sz w:val="16"/>
          <w:szCs w:val="16"/>
          <w:shd w:val="clear" w:color="auto" w:fill="FFFFFF"/>
        </w:rPr>
        <w:t>Schneider, </w:t>
      </w:r>
      <w:r w:rsidRPr="007647B4">
        <w:rPr>
          <w:rStyle w:val="nlmgiven-names"/>
          <w:rFonts w:asciiTheme="minorHAnsi" w:hAnsiTheme="minorHAnsi" w:cstheme="minorHAnsi"/>
          <w:color w:val="333333"/>
          <w:sz w:val="16"/>
          <w:szCs w:val="16"/>
          <w:shd w:val="clear" w:color="auto" w:fill="FFFFFF"/>
        </w:rPr>
        <w:t>E.</w:t>
      </w:r>
      <w:r w:rsidRPr="007647B4">
        <w:rPr>
          <w:rStyle w:val="ref-overlay"/>
          <w:rFonts w:asciiTheme="minorHAnsi" w:hAnsiTheme="minorHAnsi" w:cstheme="minorHAnsi"/>
          <w:color w:val="333333"/>
          <w:sz w:val="16"/>
          <w:szCs w:val="16"/>
          <w:shd w:val="clear" w:color="auto" w:fill="FFFFFF"/>
        </w:rPr>
        <w:t>, &amp; </w:t>
      </w:r>
      <w:r w:rsidRPr="007647B4">
        <w:rPr>
          <w:rStyle w:val="hlfld-contribauthor"/>
          <w:rFonts w:asciiTheme="minorHAnsi" w:hAnsiTheme="minorHAnsi" w:cstheme="minorHAnsi"/>
          <w:color w:val="333333"/>
          <w:sz w:val="16"/>
          <w:szCs w:val="16"/>
          <w:shd w:val="clear" w:color="auto" w:fill="FFFFFF"/>
        </w:rPr>
        <w:t>Moeller, </w:t>
      </w:r>
      <w:r w:rsidRPr="007647B4">
        <w:rPr>
          <w:rStyle w:val="nlmgiven-names"/>
          <w:rFonts w:asciiTheme="minorHAnsi" w:hAnsiTheme="minorHAnsi" w:cstheme="minorHAnsi"/>
          <w:color w:val="333333"/>
          <w:sz w:val="16"/>
          <w:szCs w:val="16"/>
          <w:shd w:val="clear" w:color="auto" w:fill="FFFFFF"/>
        </w:rPr>
        <w:t>M. R.</w:t>
      </w:r>
      <w:r w:rsidRPr="007647B4">
        <w:rPr>
          <w:rStyle w:val="ref-overlay"/>
          <w:rFonts w:asciiTheme="minorHAnsi" w:hAnsiTheme="minorHAnsi" w:cstheme="minorHAnsi"/>
          <w:color w:val="333333"/>
          <w:sz w:val="16"/>
          <w:szCs w:val="16"/>
          <w:shd w:val="clear" w:color="auto" w:fill="FFFFFF"/>
        </w:rPr>
        <w:t> (</w:t>
      </w:r>
      <w:r w:rsidRPr="007647B4">
        <w:rPr>
          <w:rStyle w:val="nlmyear"/>
          <w:rFonts w:asciiTheme="minorHAnsi" w:hAnsiTheme="minorHAnsi" w:cstheme="minorHAnsi"/>
          <w:color w:val="333333"/>
          <w:sz w:val="16"/>
          <w:szCs w:val="16"/>
          <w:shd w:val="clear" w:color="auto" w:fill="FFFFFF"/>
        </w:rPr>
        <w:t>2006</w:t>
      </w:r>
      <w:r w:rsidRPr="007647B4">
        <w:rPr>
          <w:rStyle w:val="ref-overlay"/>
          <w:rFonts w:asciiTheme="minorHAnsi" w:hAnsiTheme="minorHAnsi" w:cstheme="minorHAnsi"/>
          <w:color w:val="333333"/>
          <w:sz w:val="16"/>
          <w:szCs w:val="16"/>
          <w:shd w:val="clear" w:color="auto" w:fill="FFFFFF"/>
        </w:rPr>
        <w:t>). </w:t>
      </w:r>
      <w:r w:rsidRPr="007647B4">
        <w:rPr>
          <w:rStyle w:val="nlmarticle-title"/>
          <w:rFonts w:asciiTheme="minorHAnsi" w:hAnsiTheme="minorHAnsi" w:cstheme="minorHAnsi"/>
          <w:color w:val="333333"/>
          <w:sz w:val="16"/>
          <w:szCs w:val="16"/>
          <w:shd w:val="clear" w:color="auto" w:fill="FFFFFF"/>
        </w:rPr>
        <w:t>High-potency marijuana impairs executive function and inhibitory motor control</w:t>
      </w:r>
      <w:r w:rsidRPr="007647B4">
        <w:rPr>
          <w:rStyle w:val="ref-overlay"/>
          <w:rFonts w:asciiTheme="minorHAnsi" w:hAnsiTheme="minorHAnsi" w:cstheme="minorHAnsi"/>
          <w:color w:val="333333"/>
          <w:sz w:val="16"/>
          <w:szCs w:val="16"/>
          <w:shd w:val="clear" w:color="auto" w:fill="FFFFFF"/>
        </w:rPr>
        <w:t xml:space="preserve">. </w:t>
      </w:r>
      <w:proofErr w:type="spellStart"/>
      <w:r w:rsidRPr="007647B4">
        <w:rPr>
          <w:rStyle w:val="ref-overlay"/>
          <w:rFonts w:asciiTheme="minorHAnsi" w:hAnsiTheme="minorHAnsi" w:cstheme="minorHAnsi"/>
          <w:color w:val="333333"/>
          <w:sz w:val="16"/>
          <w:szCs w:val="16"/>
          <w:shd w:val="clear" w:color="auto" w:fill="FFFFFF"/>
          <w:lang w:val="fr-FR"/>
        </w:rPr>
        <w:t>Neuropsychopharmacology</w:t>
      </w:r>
      <w:proofErr w:type="spellEnd"/>
      <w:r w:rsidRPr="007647B4">
        <w:rPr>
          <w:rStyle w:val="ref-overlay"/>
          <w:rFonts w:asciiTheme="minorHAnsi" w:hAnsiTheme="minorHAnsi" w:cstheme="minorHAnsi"/>
          <w:color w:val="333333"/>
          <w:sz w:val="16"/>
          <w:szCs w:val="16"/>
          <w:shd w:val="clear" w:color="auto" w:fill="FFFFFF"/>
          <w:lang w:val="fr-FR"/>
        </w:rPr>
        <w:t>, 31, </w:t>
      </w:r>
      <w:r w:rsidRPr="007647B4">
        <w:rPr>
          <w:rStyle w:val="nlmfpage"/>
          <w:rFonts w:asciiTheme="minorHAnsi" w:eastAsiaTheme="minorEastAsia" w:hAnsiTheme="minorHAnsi" w:cstheme="minorHAnsi"/>
          <w:color w:val="333333"/>
          <w:sz w:val="16"/>
          <w:szCs w:val="16"/>
          <w:shd w:val="clear" w:color="auto" w:fill="FFFFFF"/>
          <w:lang w:val="fr-FR"/>
        </w:rPr>
        <w:t>2296</w:t>
      </w:r>
      <w:r w:rsidRPr="007647B4">
        <w:rPr>
          <w:rStyle w:val="ref-overlay"/>
          <w:rFonts w:asciiTheme="minorHAnsi" w:hAnsiTheme="minorHAnsi" w:cstheme="minorHAnsi"/>
          <w:color w:val="333333"/>
          <w:sz w:val="16"/>
          <w:szCs w:val="16"/>
          <w:shd w:val="clear" w:color="auto" w:fill="FFFFFF"/>
          <w:lang w:val="fr-FR"/>
        </w:rPr>
        <w:t>–</w:t>
      </w:r>
      <w:r w:rsidRPr="007647B4">
        <w:rPr>
          <w:rStyle w:val="nlmlpage"/>
          <w:rFonts w:asciiTheme="minorHAnsi" w:hAnsiTheme="minorHAnsi" w:cstheme="minorHAnsi"/>
          <w:color w:val="333333"/>
          <w:sz w:val="16"/>
          <w:szCs w:val="16"/>
          <w:shd w:val="clear" w:color="auto" w:fill="FFFFFF"/>
          <w:lang w:val="fr-FR"/>
        </w:rPr>
        <w:t>2303</w:t>
      </w:r>
      <w:r w:rsidRPr="007647B4">
        <w:rPr>
          <w:rStyle w:val="ref-overlay"/>
          <w:rFonts w:asciiTheme="minorHAnsi" w:hAnsiTheme="minorHAnsi" w:cstheme="minorHAnsi"/>
          <w:color w:val="333333"/>
          <w:sz w:val="16"/>
          <w:szCs w:val="16"/>
          <w:shd w:val="clear" w:color="auto" w:fill="FFFFFF"/>
          <w:lang w:val="fr-FR"/>
        </w:rPr>
        <w:t xml:space="preserve">. </w:t>
      </w:r>
      <w:proofErr w:type="gramStart"/>
      <w:r w:rsidRPr="007647B4">
        <w:rPr>
          <w:rStyle w:val="ref-overlay"/>
          <w:rFonts w:asciiTheme="minorHAnsi" w:hAnsiTheme="minorHAnsi" w:cstheme="minorHAnsi"/>
          <w:color w:val="333333"/>
          <w:sz w:val="16"/>
          <w:szCs w:val="16"/>
          <w:shd w:val="clear" w:color="auto" w:fill="FFFFFF"/>
          <w:lang w:val="fr-FR"/>
        </w:rPr>
        <w:t>doi:</w:t>
      </w:r>
      <w:proofErr w:type="gramEnd"/>
      <w:r w:rsidRPr="007647B4">
        <w:rPr>
          <w:rStyle w:val="Hyperlink"/>
          <w:rFonts w:asciiTheme="minorHAnsi" w:hAnsiTheme="minorHAnsi" w:cstheme="minorHAnsi"/>
          <w:color w:val="10147E"/>
          <w:sz w:val="16"/>
          <w:szCs w:val="16"/>
          <w:lang w:val="fr-FR"/>
        </w:rPr>
        <w:fldChar w:fldCharType="begin"/>
      </w:r>
      <w:r w:rsidRPr="007647B4">
        <w:rPr>
          <w:rStyle w:val="Hyperlink"/>
          <w:rFonts w:asciiTheme="minorHAnsi" w:hAnsiTheme="minorHAnsi" w:cstheme="minorHAnsi"/>
          <w:color w:val="10147E"/>
          <w:sz w:val="16"/>
          <w:szCs w:val="16"/>
          <w:lang w:val="fr-FR"/>
        </w:rPr>
        <w:instrText xml:space="preserve"> HYPERLINK "http://dx.doi.org.ucsf.idm.oclc.org/10.1038/sj.npp.1301068" \t "_blank" </w:instrText>
      </w:r>
      <w:r w:rsidRPr="007647B4">
        <w:rPr>
          <w:rStyle w:val="Hyperlink"/>
          <w:rFonts w:asciiTheme="minorHAnsi" w:hAnsiTheme="minorHAnsi" w:cstheme="minorHAnsi"/>
          <w:color w:val="10147E"/>
          <w:sz w:val="16"/>
          <w:szCs w:val="16"/>
          <w:lang w:val="fr-FR"/>
        </w:rPr>
        <w:fldChar w:fldCharType="separate"/>
      </w:r>
      <w:r w:rsidRPr="007647B4">
        <w:rPr>
          <w:rStyle w:val="Hyperlink"/>
          <w:rFonts w:asciiTheme="minorHAnsi" w:hAnsiTheme="minorHAnsi" w:cstheme="minorHAnsi"/>
          <w:color w:val="10147E"/>
          <w:sz w:val="16"/>
          <w:szCs w:val="16"/>
          <w:lang w:val="fr-FR"/>
        </w:rPr>
        <w:t>10.1038/sj.npp.1301068</w:t>
      </w:r>
      <w:r w:rsidRPr="007647B4">
        <w:rPr>
          <w:rStyle w:val="Hyperlink"/>
          <w:rFonts w:asciiTheme="minorHAnsi" w:hAnsiTheme="minorHAnsi" w:cstheme="minorHAnsi"/>
          <w:color w:val="10147E"/>
          <w:sz w:val="16"/>
          <w:szCs w:val="16"/>
          <w:lang w:val="fr-FR"/>
        </w:rPr>
        <w:fldChar w:fldCharType="end"/>
      </w:r>
    </w:p>
  </w:footnote>
  <w:footnote w:id="48">
    <w:p w14:paraId="05E7CC9C" w14:textId="59E7156E" w:rsidR="007647B4" w:rsidRPr="007647B4" w:rsidRDefault="007647B4" w:rsidP="004F0418">
      <w:pPr>
        <w:pStyle w:val="FootnoteText"/>
        <w:rPr>
          <w:rFonts w:asciiTheme="minorHAnsi" w:hAnsiTheme="minorHAnsi" w:cstheme="minorHAnsi"/>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lang w:val="fr-FR"/>
        </w:rPr>
        <w:t xml:space="preserve"> </w:t>
      </w:r>
      <w:proofErr w:type="spellStart"/>
      <w:r w:rsidRPr="007647B4">
        <w:rPr>
          <w:rFonts w:asciiTheme="minorHAnsi" w:hAnsiTheme="minorHAnsi" w:cstheme="minorHAnsi"/>
          <w:color w:val="333333"/>
          <w:sz w:val="16"/>
          <w:szCs w:val="16"/>
          <w:lang w:val="fr-FR"/>
        </w:rPr>
        <w:t>Rigucci</w:t>
      </w:r>
      <w:proofErr w:type="spellEnd"/>
      <w:r w:rsidRPr="007647B4">
        <w:rPr>
          <w:rFonts w:asciiTheme="minorHAnsi" w:hAnsiTheme="minorHAnsi" w:cstheme="minorHAnsi"/>
          <w:color w:val="333333"/>
          <w:sz w:val="16"/>
          <w:szCs w:val="16"/>
          <w:lang w:val="fr-FR"/>
        </w:rPr>
        <w:t xml:space="preserve"> et al., </w:t>
      </w:r>
      <w:hyperlink r:id="rId13" w:history="1">
        <w:r w:rsidRPr="007647B4">
          <w:rPr>
            <w:rStyle w:val="Hyperlink"/>
            <w:rFonts w:asciiTheme="minorHAnsi" w:hAnsiTheme="minorHAnsi" w:cstheme="minorHAnsi"/>
            <w:color w:val="10147E"/>
            <w:sz w:val="16"/>
            <w:szCs w:val="16"/>
            <w:lang w:val="fr-FR"/>
          </w:rPr>
          <w:t>2016</w:t>
        </w:r>
      </w:hyperlink>
      <w:r w:rsidRPr="007647B4">
        <w:rPr>
          <w:rStyle w:val="hlfld-contribauthor"/>
          <w:rFonts w:asciiTheme="minorHAnsi" w:hAnsiTheme="minorHAnsi" w:cstheme="minorHAnsi"/>
          <w:color w:val="333333"/>
          <w:sz w:val="16"/>
          <w:szCs w:val="16"/>
          <w:shd w:val="clear" w:color="auto" w:fill="FFFFFF"/>
          <w:lang w:val="fr-FR"/>
        </w:rPr>
        <w:t>Rigucci, </w:t>
      </w:r>
      <w:r w:rsidRPr="007647B4">
        <w:rPr>
          <w:rStyle w:val="nlmgiven-names"/>
          <w:rFonts w:asciiTheme="minorHAnsi" w:hAnsiTheme="minorHAnsi" w:cstheme="minorHAnsi"/>
          <w:color w:val="333333"/>
          <w:sz w:val="16"/>
          <w:szCs w:val="16"/>
          <w:shd w:val="clear" w:color="auto" w:fill="FFFFFF"/>
          <w:lang w:val="fr-FR"/>
        </w:rPr>
        <w:t>S.</w:t>
      </w:r>
      <w:r w:rsidRPr="007647B4">
        <w:rPr>
          <w:rStyle w:val="ref-overlay"/>
          <w:rFonts w:asciiTheme="minorHAnsi" w:hAnsiTheme="minorHAnsi" w:cstheme="minorHAnsi"/>
          <w:color w:val="333333"/>
          <w:sz w:val="16"/>
          <w:szCs w:val="16"/>
          <w:shd w:val="clear" w:color="auto" w:fill="FFFFFF"/>
          <w:lang w:val="fr-FR"/>
        </w:rPr>
        <w:t>, </w:t>
      </w:r>
      <w:r w:rsidRPr="007647B4">
        <w:rPr>
          <w:rStyle w:val="hlfld-contribauthor"/>
          <w:rFonts w:asciiTheme="minorHAnsi" w:hAnsiTheme="minorHAnsi" w:cstheme="minorHAnsi"/>
          <w:color w:val="333333"/>
          <w:sz w:val="16"/>
          <w:szCs w:val="16"/>
          <w:shd w:val="clear" w:color="auto" w:fill="FFFFFF"/>
          <w:lang w:val="fr-FR"/>
        </w:rPr>
        <w:t>Marques, </w:t>
      </w:r>
      <w:r w:rsidRPr="007647B4">
        <w:rPr>
          <w:rStyle w:val="nlmgiven-names"/>
          <w:rFonts w:asciiTheme="minorHAnsi" w:hAnsiTheme="minorHAnsi" w:cstheme="minorHAnsi"/>
          <w:color w:val="333333"/>
          <w:sz w:val="16"/>
          <w:szCs w:val="16"/>
          <w:shd w:val="clear" w:color="auto" w:fill="FFFFFF"/>
          <w:lang w:val="fr-FR"/>
        </w:rPr>
        <w:t>T. R.</w:t>
      </w:r>
      <w:r w:rsidRPr="007647B4">
        <w:rPr>
          <w:rStyle w:val="ref-overlay"/>
          <w:rFonts w:asciiTheme="minorHAnsi" w:hAnsiTheme="minorHAnsi" w:cstheme="minorHAnsi"/>
          <w:color w:val="333333"/>
          <w:sz w:val="16"/>
          <w:szCs w:val="16"/>
          <w:shd w:val="clear" w:color="auto" w:fill="FFFFFF"/>
          <w:lang w:val="fr-FR"/>
        </w:rPr>
        <w:t>, </w:t>
      </w:r>
      <w:r w:rsidRPr="007647B4">
        <w:rPr>
          <w:rStyle w:val="hlfld-contribauthor"/>
          <w:rFonts w:asciiTheme="minorHAnsi" w:hAnsiTheme="minorHAnsi" w:cstheme="minorHAnsi"/>
          <w:color w:val="333333"/>
          <w:sz w:val="16"/>
          <w:szCs w:val="16"/>
          <w:shd w:val="clear" w:color="auto" w:fill="FFFFFF"/>
          <w:lang w:val="fr-FR"/>
        </w:rPr>
        <w:t xml:space="preserve">Di </w:t>
      </w:r>
      <w:proofErr w:type="spellStart"/>
      <w:r w:rsidRPr="007647B4">
        <w:rPr>
          <w:rStyle w:val="hlfld-contribauthor"/>
          <w:rFonts w:asciiTheme="minorHAnsi" w:hAnsiTheme="minorHAnsi" w:cstheme="minorHAnsi"/>
          <w:color w:val="333333"/>
          <w:sz w:val="16"/>
          <w:szCs w:val="16"/>
          <w:shd w:val="clear" w:color="auto" w:fill="FFFFFF"/>
          <w:lang w:val="fr-FR"/>
        </w:rPr>
        <w:t>Forti</w:t>
      </w:r>
      <w:proofErr w:type="spellEnd"/>
      <w:r w:rsidRPr="007647B4">
        <w:rPr>
          <w:rStyle w:val="hlfld-contribauthor"/>
          <w:rFonts w:asciiTheme="minorHAnsi" w:hAnsiTheme="minorHAnsi" w:cstheme="minorHAnsi"/>
          <w:color w:val="333333"/>
          <w:sz w:val="16"/>
          <w:szCs w:val="16"/>
          <w:shd w:val="clear" w:color="auto" w:fill="FFFFFF"/>
          <w:lang w:val="fr-FR"/>
        </w:rPr>
        <w:t>, </w:t>
      </w:r>
      <w:r w:rsidRPr="007647B4">
        <w:rPr>
          <w:rStyle w:val="nlmgiven-names"/>
          <w:rFonts w:asciiTheme="minorHAnsi" w:hAnsiTheme="minorHAnsi" w:cstheme="minorHAnsi"/>
          <w:color w:val="333333"/>
          <w:sz w:val="16"/>
          <w:szCs w:val="16"/>
          <w:shd w:val="clear" w:color="auto" w:fill="FFFFFF"/>
          <w:lang w:val="fr-FR"/>
        </w:rPr>
        <w:t>M.</w:t>
      </w:r>
      <w:r w:rsidRPr="007647B4">
        <w:rPr>
          <w:rStyle w:val="ref-overlay"/>
          <w:rFonts w:asciiTheme="minorHAnsi" w:hAnsiTheme="minorHAnsi" w:cstheme="minorHAnsi"/>
          <w:color w:val="333333"/>
          <w:sz w:val="16"/>
          <w:szCs w:val="16"/>
          <w:shd w:val="clear" w:color="auto" w:fill="FFFFFF"/>
          <w:lang w:val="fr-FR"/>
        </w:rPr>
        <w:t>, </w:t>
      </w:r>
      <w:r w:rsidRPr="007647B4">
        <w:rPr>
          <w:rStyle w:val="hlfld-contribauthor"/>
          <w:rFonts w:asciiTheme="minorHAnsi" w:hAnsiTheme="minorHAnsi" w:cstheme="minorHAnsi"/>
          <w:color w:val="333333"/>
          <w:sz w:val="16"/>
          <w:szCs w:val="16"/>
          <w:shd w:val="clear" w:color="auto" w:fill="FFFFFF"/>
          <w:lang w:val="fr-FR"/>
        </w:rPr>
        <w:t>Taylor, </w:t>
      </w:r>
      <w:r w:rsidRPr="007647B4">
        <w:rPr>
          <w:rStyle w:val="nlmgiven-names"/>
          <w:rFonts w:asciiTheme="minorHAnsi" w:hAnsiTheme="minorHAnsi" w:cstheme="minorHAnsi"/>
          <w:color w:val="333333"/>
          <w:sz w:val="16"/>
          <w:szCs w:val="16"/>
          <w:shd w:val="clear" w:color="auto" w:fill="FFFFFF"/>
          <w:lang w:val="fr-FR"/>
        </w:rPr>
        <w:t>H.</w:t>
      </w:r>
      <w:r w:rsidRPr="007647B4">
        <w:rPr>
          <w:rStyle w:val="ref-overlay"/>
          <w:rFonts w:asciiTheme="minorHAnsi" w:hAnsiTheme="minorHAnsi" w:cstheme="minorHAnsi"/>
          <w:color w:val="333333"/>
          <w:sz w:val="16"/>
          <w:szCs w:val="16"/>
          <w:shd w:val="clear" w:color="auto" w:fill="FFFFFF"/>
          <w:lang w:val="fr-FR"/>
        </w:rPr>
        <w:t>, </w:t>
      </w:r>
      <w:proofErr w:type="spellStart"/>
      <w:r w:rsidRPr="007647B4">
        <w:rPr>
          <w:rStyle w:val="hlfld-contribauthor"/>
          <w:rFonts w:asciiTheme="minorHAnsi" w:hAnsiTheme="minorHAnsi" w:cstheme="minorHAnsi"/>
          <w:color w:val="333333"/>
          <w:sz w:val="16"/>
          <w:szCs w:val="16"/>
          <w:shd w:val="clear" w:color="auto" w:fill="FFFFFF"/>
          <w:lang w:val="fr-FR"/>
        </w:rPr>
        <w:t>Dell'Acqua</w:t>
      </w:r>
      <w:proofErr w:type="spellEnd"/>
      <w:r w:rsidRPr="007647B4">
        <w:rPr>
          <w:rStyle w:val="hlfld-contribauthor"/>
          <w:rFonts w:asciiTheme="minorHAnsi" w:hAnsiTheme="minorHAnsi" w:cstheme="minorHAnsi"/>
          <w:color w:val="333333"/>
          <w:sz w:val="16"/>
          <w:szCs w:val="16"/>
          <w:shd w:val="clear" w:color="auto" w:fill="FFFFFF"/>
          <w:lang w:val="fr-FR"/>
        </w:rPr>
        <w:t>, </w:t>
      </w:r>
      <w:r w:rsidRPr="007647B4">
        <w:rPr>
          <w:rStyle w:val="nlmgiven-names"/>
          <w:rFonts w:asciiTheme="minorHAnsi" w:hAnsiTheme="minorHAnsi" w:cstheme="minorHAnsi"/>
          <w:color w:val="333333"/>
          <w:sz w:val="16"/>
          <w:szCs w:val="16"/>
          <w:shd w:val="clear" w:color="auto" w:fill="FFFFFF"/>
          <w:lang w:val="fr-FR"/>
        </w:rPr>
        <w:t>F.</w:t>
      </w:r>
      <w:r w:rsidRPr="007647B4">
        <w:rPr>
          <w:rStyle w:val="ref-overlay"/>
          <w:rFonts w:asciiTheme="minorHAnsi" w:hAnsiTheme="minorHAnsi" w:cstheme="minorHAnsi"/>
          <w:color w:val="333333"/>
          <w:sz w:val="16"/>
          <w:szCs w:val="16"/>
          <w:shd w:val="clear" w:color="auto" w:fill="FFFFFF"/>
          <w:lang w:val="fr-FR"/>
        </w:rPr>
        <w:t>, </w:t>
      </w:r>
      <w:proofErr w:type="spellStart"/>
      <w:r w:rsidRPr="007647B4">
        <w:rPr>
          <w:rStyle w:val="hlfld-contribauthor"/>
          <w:rFonts w:asciiTheme="minorHAnsi" w:hAnsiTheme="minorHAnsi" w:cstheme="minorHAnsi"/>
          <w:color w:val="333333"/>
          <w:sz w:val="16"/>
          <w:szCs w:val="16"/>
          <w:shd w:val="clear" w:color="auto" w:fill="FFFFFF"/>
          <w:lang w:val="fr-FR"/>
        </w:rPr>
        <w:t>Mondelli</w:t>
      </w:r>
      <w:proofErr w:type="spellEnd"/>
      <w:r w:rsidRPr="007647B4">
        <w:rPr>
          <w:rStyle w:val="hlfld-contribauthor"/>
          <w:rFonts w:asciiTheme="minorHAnsi" w:hAnsiTheme="minorHAnsi" w:cstheme="minorHAnsi"/>
          <w:color w:val="333333"/>
          <w:sz w:val="16"/>
          <w:szCs w:val="16"/>
          <w:shd w:val="clear" w:color="auto" w:fill="FFFFFF"/>
          <w:lang w:val="fr-FR"/>
        </w:rPr>
        <w:t>, </w:t>
      </w:r>
      <w:r w:rsidRPr="007647B4">
        <w:rPr>
          <w:rStyle w:val="nlmgiven-names"/>
          <w:rFonts w:asciiTheme="minorHAnsi" w:hAnsiTheme="minorHAnsi" w:cstheme="minorHAnsi"/>
          <w:color w:val="333333"/>
          <w:sz w:val="16"/>
          <w:szCs w:val="16"/>
          <w:shd w:val="clear" w:color="auto" w:fill="FFFFFF"/>
          <w:lang w:val="fr-FR"/>
        </w:rPr>
        <w:t>V.</w:t>
      </w:r>
      <w:r w:rsidRPr="007647B4">
        <w:rPr>
          <w:rStyle w:val="ref-overlay"/>
          <w:rFonts w:asciiTheme="minorHAnsi" w:hAnsiTheme="minorHAnsi" w:cstheme="minorHAnsi"/>
          <w:color w:val="333333"/>
          <w:sz w:val="16"/>
          <w:szCs w:val="16"/>
          <w:shd w:val="clear" w:color="auto" w:fill="FFFFFF"/>
          <w:lang w:val="fr-FR"/>
        </w:rPr>
        <w:t>, … </w:t>
      </w:r>
      <w:proofErr w:type="spellStart"/>
      <w:r w:rsidRPr="007647B4">
        <w:rPr>
          <w:rStyle w:val="hlfld-contribauthor"/>
          <w:rFonts w:asciiTheme="minorHAnsi" w:hAnsiTheme="minorHAnsi" w:cstheme="minorHAnsi"/>
          <w:color w:val="333333"/>
          <w:sz w:val="16"/>
          <w:szCs w:val="16"/>
          <w:shd w:val="clear" w:color="auto" w:fill="FFFFFF"/>
        </w:rPr>
        <w:t>Dazzan</w:t>
      </w:r>
      <w:proofErr w:type="spellEnd"/>
      <w:r w:rsidRPr="007647B4">
        <w:rPr>
          <w:rStyle w:val="hlfld-contribauthor"/>
          <w:rFonts w:asciiTheme="minorHAnsi" w:hAnsiTheme="minorHAnsi" w:cstheme="minorHAnsi"/>
          <w:color w:val="333333"/>
          <w:sz w:val="16"/>
          <w:szCs w:val="16"/>
          <w:shd w:val="clear" w:color="auto" w:fill="FFFFFF"/>
        </w:rPr>
        <w:t>, </w:t>
      </w:r>
      <w:r w:rsidRPr="007647B4">
        <w:rPr>
          <w:rStyle w:val="nlmgiven-names"/>
          <w:rFonts w:asciiTheme="minorHAnsi" w:hAnsiTheme="minorHAnsi" w:cstheme="minorHAnsi"/>
          <w:color w:val="333333"/>
          <w:sz w:val="16"/>
          <w:szCs w:val="16"/>
          <w:shd w:val="clear" w:color="auto" w:fill="FFFFFF"/>
        </w:rPr>
        <w:t>P.</w:t>
      </w:r>
      <w:r w:rsidRPr="007647B4">
        <w:rPr>
          <w:rStyle w:val="ref-overlay"/>
          <w:rFonts w:asciiTheme="minorHAnsi" w:hAnsiTheme="minorHAnsi" w:cstheme="minorHAnsi"/>
          <w:color w:val="333333"/>
          <w:sz w:val="16"/>
          <w:szCs w:val="16"/>
          <w:shd w:val="clear" w:color="auto" w:fill="FFFFFF"/>
        </w:rPr>
        <w:t> (</w:t>
      </w:r>
      <w:r w:rsidRPr="007647B4">
        <w:rPr>
          <w:rStyle w:val="nlmyear"/>
          <w:rFonts w:asciiTheme="minorHAnsi" w:hAnsiTheme="minorHAnsi" w:cstheme="minorHAnsi"/>
          <w:color w:val="333333"/>
          <w:sz w:val="16"/>
          <w:szCs w:val="16"/>
          <w:shd w:val="clear" w:color="auto" w:fill="FFFFFF"/>
        </w:rPr>
        <w:t>2016</w:t>
      </w:r>
      <w:r w:rsidRPr="007647B4">
        <w:rPr>
          <w:rStyle w:val="ref-overlay"/>
          <w:rFonts w:asciiTheme="minorHAnsi" w:hAnsiTheme="minorHAnsi" w:cstheme="minorHAnsi"/>
          <w:color w:val="333333"/>
          <w:sz w:val="16"/>
          <w:szCs w:val="16"/>
          <w:shd w:val="clear" w:color="auto" w:fill="FFFFFF"/>
        </w:rPr>
        <w:t>). </w:t>
      </w:r>
      <w:r w:rsidRPr="007647B4">
        <w:rPr>
          <w:rStyle w:val="nlmarticle-title"/>
          <w:rFonts w:asciiTheme="minorHAnsi" w:hAnsiTheme="minorHAnsi" w:cstheme="minorHAnsi"/>
          <w:color w:val="333333"/>
          <w:sz w:val="16"/>
          <w:szCs w:val="16"/>
          <w:shd w:val="clear" w:color="auto" w:fill="FFFFFF"/>
        </w:rPr>
        <w:t>Effect of high-potency cannabis on corpus callosum microstructure</w:t>
      </w:r>
      <w:r w:rsidRPr="007647B4">
        <w:rPr>
          <w:rStyle w:val="ref-overlay"/>
          <w:rFonts w:asciiTheme="minorHAnsi" w:hAnsiTheme="minorHAnsi" w:cstheme="minorHAnsi"/>
          <w:color w:val="333333"/>
          <w:sz w:val="16"/>
          <w:szCs w:val="16"/>
          <w:shd w:val="clear" w:color="auto" w:fill="FFFFFF"/>
        </w:rPr>
        <w:t>. Psychological Medicine, 46, </w:t>
      </w:r>
      <w:r w:rsidRPr="007647B4">
        <w:rPr>
          <w:rStyle w:val="nlmfpage"/>
          <w:rFonts w:asciiTheme="minorHAnsi" w:eastAsiaTheme="minorEastAsia" w:hAnsiTheme="minorHAnsi" w:cstheme="minorHAnsi"/>
          <w:color w:val="333333"/>
          <w:sz w:val="16"/>
          <w:szCs w:val="16"/>
          <w:shd w:val="clear" w:color="auto" w:fill="FFFFFF"/>
        </w:rPr>
        <w:t>841</w:t>
      </w:r>
      <w:r w:rsidRPr="007647B4">
        <w:rPr>
          <w:rStyle w:val="ref-overlay"/>
          <w:rFonts w:asciiTheme="minorHAnsi" w:hAnsiTheme="minorHAnsi" w:cstheme="minorHAnsi"/>
          <w:color w:val="333333"/>
          <w:sz w:val="16"/>
          <w:szCs w:val="16"/>
          <w:shd w:val="clear" w:color="auto" w:fill="FFFFFF"/>
        </w:rPr>
        <w:t>–</w:t>
      </w:r>
      <w:r w:rsidRPr="007647B4">
        <w:rPr>
          <w:rStyle w:val="nlmlpage"/>
          <w:rFonts w:asciiTheme="minorHAnsi" w:hAnsiTheme="minorHAnsi" w:cstheme="minorHAnsi"/>
          <w:color w:val="333333"/>
          <w:sz w:val="16"/>
          <w:szCs w:val="16"/>
          <w:shd w:val="clear" w:color="auto" w:fill="FFFFFF"/>
        </w:rPr>
        <w:t>854</w:t>
      </w:r>
      <w:r w:rsidRPr="007647B4">
        <w:rPr>
          <w:rStyle w:val="ref-overlay"/>
          <w:rFonts w:asciiTheme="minorHAnsi" w:hAnsiTheme="minorHAnsi" w:cstheme="minorHAnsi"/>
          <w:color w:val="333333"/>
          <w:sz w:val="16"/>
          <w:szCs w:val="16"/>
          <w:shd w:val="clear" w:color="auto" w:fill="FFFFFF"/>
        </w:rPr>
        <w:t>. doi:</w:t>
      </w:r>
      <w:hyperlink r:id="rId14" w:tgtFrame="_blank" w:history="1">
        <w:r w:rsidRPr="007647B4">
          <w:rPr>
            <w:rStyle w:val="Hyperlink"/>
            <w:rFonts w:asciiTheme="minorHAnsi" w:hAnsiTheme="minorHAnsi" w:cstheme="minorHAnsi"/>
            <w:color w:val="10147E"/>
            <w:sz w:val="16"/>
            <w:szCs w:val="16"/>
          </w:rPr>
          <w:t>10.1017/S0033291715002342</w:t>
        </w:r>
      </w:hyperlink>
    </w:p>
  </w:footnote>
  <w:footnote w:id="49">
    <w:p w14:paraId="19B624FB" w14:textId="77777777" w:rsidR="007647B4" w:rsidRPr="007647B4" w:rsidRDefault="007647B4" w:rsidP="00237BF4">
      <w:pPr>
        <w:pStyle w:val="Heading1"/>
        <w:shd w:val="clear" w:color="auto" w:fill="FFFFFF"/>
        <w:spacing w:before="0" w:beforeAutospacing="0" w:after="0" w:afterAutospacing="0"/>
        <w:contextualSpacing/>
        <w:rPr>
          <w:rFonts w:asciiTheme="minorHAnsi" w:hAnsiTheme="minorHAnsi" w:cstheme="minorHAnsi"/>
          <w:b w:val="0"/>
          <w:color w:val="000000"/>
          <w:sz w:val="16"/>
          <w:szCs w:val="16"/>
        </w:rPr>
      </w:pPr>
      <w:r w:rsidRPr="007647B4">
        <w:rPr>
          <w:rStyle w:val="FootnoteReference"/>
          <w:rFonts w:asciiTheme="minorHAnsi" w:hAnsiTheme="minorHAnsi" w:cstheme="minorHAnsi"/>
          <w:b w:val="0"/>
          <w:sz w:val="16"/>
          <w:szCs w:val="16"/>
        </w:rPr>
        <w:footnoteRef/>
      </w:r>
      <w:r w:rsidRPr="007647B4">
        <w:rPr>
          <w:rFonts w:asciiTheme="minorHAnsi" w:hAnsiTheme="minorHAnsi" w:cstheme="minorHAnsi"/>
          <w:b w:val="0"/>
          <w:sz w:val="16"/>
          <w:szCs w:val="16"/>
        </w:rPr>
        <w:t xml:space="preserve"> </w:t>
      </w:r>
      <w:hyperlink r:id="rId15" w:history="1">
        <w:r w:rsidRPr="007647B4">
          <w:rPr>
            <w:rStyle w:val="Hyperlink"/>
            <w:rFonts w:asciiTheme="minorHAnsi" w:hAnsiTheme="minorHAnsi" w:cstheme="minorHAnsi"/>
            <w:b w:val="0"/>
            <w:color w:val="660066"/>
            <w:sz w:val="16"/>
            <w:szCs w:val="16"/>
          </w:rPr>
          <w:t>Freeman TP</w:t>
        </w:r>
      </w:hyperlink>
      <w:r w:rsidRPr="007647B4">
        <w:rPr>
          <w:rFonts w:asciiTheme="minorHAnsi" w:hAnsiTheme="minorHAnsi" w:cstheme="minorHAnsi"/>
          <w:b w:val="0"/>
          <w:color w:val="000000"/>
          <w:sz w:val="16"/>
          <w:szCs w:val="16"/>
        </w:rPr>
        <w:t>, </w:t>
      </w:r>
      <w:proofErr w:type="spellStart"/>
      <w:r w:rsidRPr="007647B4">
        <w:rPr>
          <w:rFonts w:asciiTheme="minorHAnsi" w:hAnsiTheme="minorHAnsi" w:cstheme="minorHAnsi"/>
          <w:b w:val="0"/>
          <w:color w:val="000000"/>
          <w:sz w:val="16"/>
          <w:szCs w:val="16"/>
        </w:rPr>
        <w:fldChar w:fldCharType="begin"/>
      </w:r>
      <w:r w:rsidRPr="007647B4">
        <w:rPr>
          <w:rFonts w:asciiTheme="minorHAnsi" w:hAnsiTheme="minorHAnsi" w:cstheme="minorHAnsi"/>
          <w:b w:val="0"/>
          <w:color w:val="000000"/>
          <w:sz w:val="16"/>
          <w:szCs w:val="16"/>
        </w:rPr>
        <w:instrText xml:space="preserve"> HYPERLINK "https://www-ncbi-nlm-nih-gov.ucsf.idm.oclc.org/pubmed/?term=Winstock%20AR%5BAuthor%5D&amp;cauthor=true&amp;cauthor_uid=26213314" </w:instrText>
      </w:r>
      <w:r w:rsidRPr="007647B4">
        <w:rPr>
          <w:rFonts w:asciiTheme="minorHAnsi" w:hAnsiTheme="minorHAnsi" w:cstheme="minorHAnsi"/>
          <w:b w:val="0"/>
          <w:color w:val="000000"/>
          <w:sz w:val="16"/>
          <w:szCs w:val="16"/>
        </w:rPr>
        <w:fldChar w:fldCharType="separate"/>
      </w:r>
      <w:r w:rsidRPr="007647B4">
        <w:rPr>
          <w:rStyle w:val="Hyperlink"/>
          <w:rFonts w:asciiTheme="minorHAnsi" w:hAnsiTheme="minorHAnsi" w:cstheme="minorHAnsi"/>
          <w:b w:val="0"/>
          <w:color w:val="660066"/>
          <w:sz w:val="16"/>
          <w:szCs w:val="16"/>
        </w:rPr>
        <w:t>Winstock</w:t>
      </w:r>
      <w:proofErr w:type="spellEnd"/>
      <w:r w:rsidRPr="007647B4">
        <w:rPr>
          <w:rStyle w:val="Hyperlink"/>
          <w:rFonts w:asciiTheme="minorHAnsi" w:hAnsiTheme="minorHAnsi" w:cstheme="minorHAnsi"/>
          <w:b w:val="0"/>
          <w:color w:val="660066"/>
          <w:sz w:val="16"/>
          <w:szCs w:val="16"/>
        </w:rPr>
        <w:t xml:space="preserve"> </w:t>
      </w:r>
      <w:proofErr w:type="spellStart"/>
      <w:r w:rsidRPr="007647B4">
        <w:rPr>
          <w:rStyle w:val="Hyperlink"/>
          <w:rFonts w:asciiTheme="minorHAnsi" w:hAnsiTheme="minorHAnsi" w:cstheme="minorHAnsi"/>
          <w:b w:val="0"/>
          <w:color w:val="660066"/>
          <w:sz w:val="16"/>
          <w:szCs w:val="16"/>
        </w:rPr>
        <w:t>AR</w:t>
      </w:r>
      <w:r w:rsidRPr="007647B4">
        <w:rPr>
          <w:rFonts w:asciiTheme="minorHAnsi" w:hAnsiTheme="minorHAnsi" w:cstheme="minorHAnsi"/>
          <w:b w:val="0"/>
          <w:color w:val="000000"/>
          <w:sz w:val="16"/>
          <w:szCs w:val="16"/>
        </w:rPr>
        <w:fldChar w:fldCharType="end"/>
      </w:r>
      <w:r w:rsidRPr="007647B4">
        <w:rPr>
          <w:rFonts w:asciiTheme="minorHAnsi" w:hAnsiTheme="minorHAnsi" w:cstheme="minorHAnsi"/>
          <w:b w:val="0"/>
          <w:color w:val="000000"/>
          <w:sz w:val="16"/>
          <w:szCs w:val="16"/>
        </w:rPr>
        <w:t>.</w:t>
      </w:r>
      <w:hyperlink r:id="rId16" w:tooltip="Psychological medicine." w:history="1">
        <w:r w:rsidRPr="007647B4">
          <w:rPr>
            <w:rStyle w:val="Hyperlink"/>
            <w:rFonts w:asciiTheme="minorHAnsi" w:hAnsiTheme="minorHAnsi" w:cstheme="minorHAnsi"/>
            <w:b w:val="0"/>
            <w:color w:val="660066"/>
            <w:sz w:val="16"/>
            <w:szCs w:val="16"/>
          </w:rPr>
          <w:t>Psychol</w:t>
        </w:r>
        <w:proofErr w:type="spellEnd"/>
        <w:r w:rsidRPr="007647B4">
          <w:rPr>
            <w:rStyle w:val="Hyperlink"/>
            <w:rFonts w:asciiTheme="minorHAnsi" w:hAnsiTheme="minorHAnsi" w:cstheme="minorHAnsi"/>
            <w:b w:val="0"/>
            <w:color w:val="660066"/>
            <w:sz w:val="16"/>
            <w:szCs w:val="16"/>
          </w:rPr>
          <w:t xml:space="preserve"> Med.</w:t>
        </w:r>
      </w:hyperlink>
      <w:r w:rsidRPr="007647B4">
        <w:rPr>
          <w:rFonts w:asciiTheme="minorHAnsi" w:hAnsiTheme="minorHAnsi" w:cstheme="minorHAnsi"/>
          <w:b w:val="0"/>
          <w:color w:val="000000"/>
          <w:sz w:val="16"/>
          <w:szCs w:val="16"/>
        </w:rPr>
        <w:t> </w:t>
      </w:r>
      <w:r w:rsidRPr="007647B4">
        <w:rPr>
          <w:rStyle w:val="highlight"/>
          <w:rFonts w:asciiTheme="minorHAnsi" w:hAnsiTheme="minorHAnsi" w:cstheme="minorHAnsi"/>
          <w:b w:val="0"/>
          <w:color w:val="000000"/>
          <w:sz w:val="16"/>
          <w:szCs w:val="16"/>
        </w:rPr>
        <w:t>Examining</w:t>
      </w:r>
      <w:r w:rsidRPr="007647B4">
        <w:rPr>
          <w:rFonts w:asciiTheme="minorHAnsi" w:hAnsiTheme="minorHAnsi" w:cstheme="minorHAnsi"/>
          <w:b w:val="0"/>
          <w:color w:val="000000"/>
          <w:sz w:val="16"/>
          <w:szCs w:val="16"/>
        </w:rPr>
        <w:t> the </w:t>
      </w:r>
      <w:r w:rsidRPr="007647B4">
        <w:rPr>
          <w:rStyle w:val="highlight"/>
          <w:rFonts w:asciiTheme="minorHAnsi" w:hAnsiTheme="minorHAnsi" w:cstheme="minorHAnsi"/>
          <w:b w:val="0"/>
          <w:color w:val="000000"/>
          <w:sz w:val="16"/>
          <w:szCs w:val="16"/>
        </w:rPr>
        <w:t>profile</w:t>
      </w:r>
      <w:r w:rsidRPr="007647B4">
        <w:rPr>
          <w:rFonts w:asciiTheme="minorHAnsi" w:hAnsiTheme="minorHAnsi" w:cstheme="minorHAnsi"/>
          <w:b w:val="0"/>
          <w:color w:val="000000"/>
          <w:sz w:val="16"/>
          <w:szCs w:val="16"/>
        </w:rPr>
        <w:t> of </w:t>
      </w:r>
      <w:r w:rsidRPr="007647B4">
        <w:rPr>
          <w:rStyle w:val="highlight"/>
          <w:rFonts w:asciiTheme="minorHAnsi" w:hAnsiTheme="minorHAnsi" w:cstheme="minorHAnsi"/>
          <w:b w:val="0"/>
          <w:color w:val="000000"/>
          <w:sz w:val="16"/>
          <w:szCs w:val="16"/>
        </w:rPr>
        <w:t>high-potency</w:t>
      </w:r>
      <w:r w:rsidRPr="007647B4">
        <w:rPr>
          <w:rFonts w:asciiTheme="minorHAnsi" w:hAnsiTheme="minorHAnsi" w:cstheme="minorHAnsi"/>
          <w:b w:val="0"/>
          <w:color w:val="000000"/>
          <w:sz w:val="16"/>
          <w:szCs w:val="16"/>
        </w:rPr>
        <w:t> </w:t>
      </w:r>
      <w:r w:rsidRPr="007647B4">
        <w:rPr>
          <w:rStyle w:val="highlight"/>
          <w:rFonts w:asciiTheme="minorHAnsi" w:hAnsiTheme="minorHAnsi" w:cstheme="minorHAnsi"/>
          <w:b w:val="0"/>
          <w:color w:val="000000"/>
          <w:sz w:val="16"/>
          <w:szCs w:val="16"/>
        </w:rPr>
        <w:t>cannabis</w:t>
      </w:r>
      <w:r w:rsidRPr="007647B4">
        <w:rPr>
          <w:rFonts w:asciiTheme="minorHAnsi" w:hAnsiTheme="minorHAnsi" w:cstheme="minorHAnsi"/>
          <w:b w:val="0"/>
          <w:color w:val="000000"/>
          <w:sz w:val="16"/>
          <w:szCs w:val="16"/>
        </w:rPr>
        <w:t> and its </w:t>
      </w:r>
      <w:r w:rsidRPr="007647B4">
        <w:rPr>
          <w:rStyle w:val="highlight"/>
          <w:rFonts w:asciiTheme="minorHAnsi" w:hAnsiTheme="minorHAnsi" w:cstheme="minorHAnsi"/>
          <w:b w:val="0"/>
          <w:color w:val="000000"/>
          <w:sz w:val="16"/>
          <w:szCs w:val="16"/>
        </w:rPr>
        <w:t>association</w:t>
      </w:r>
      <w:r w:rsidRPr="007647B4">
        <w:rPr>
          <w:rFonts w:asciiTheme="minorHAnsi" w:hAnsiTheme="minorHAnsi" w:cstheme="minorHAnsi"/>
          <w:b w:val="0"/>
          <w:color w:val="000000"/>
          <w:sz w:val="16"/>
          <w:szCs w:val="16"/>
        </w:rPr>
        <w:t> with </w:t>
      </w:r>
      <w:r w:rsidRPr="007647B4">
        <w:rPr>
          <w:rStyle w:val="highlight"/>
          <w:rFonts w:asciiTheme="minorHAnsi" w:hAnsiTheme="minorHAnsi" w:cstheme="minorHAnsi"/>
          <w:b w:val="0"/>
          <w:color w:val="000000"/>
          <w:sz w:val="16"/>
          <w:szCs w:val="16"/>
        </w:rPr>
        <w:t>severity</w:t>
      </w:r>
      <w:r w:rsidRPr="007647B4">
        <w:rPr>
          <w:rFonts w:asciiTheme="minorHAnsi" w:hAnsiTheme="minorHAnsi" w:cstheme="minorHAnsi"/>
          <w:b w:val="0"/>
          <w:color w:val="000000"/>
          <w:sz w:val="16"/>
          <w:szCs w:val="16"/>
        </w:rPr>
        <w:t> of </w:t>
      </w:r>
      <w:r w:rsidRPr="007647B4">
        <w:rPr>
          <w:rStyle w:val="highlight"/>
          <w:rFonts w:asciiTheme="minorHAnsi" w:hAnsiTheme="minorHAnsi" w:cstheme="minorHAnsi"/>
          <w:b w:val="0"/>
          <w:color w:val="000000"/>
          <w:sz w:val="16"/>
          <w:szCs w:val="16"/>
        </w:rPr>
        <w:t>cannabis</w:t>
      </w:r>
      <w:r w:rsidRPr="007647B4">
        <w:rPr>
          <w:rFonts w:asciiTheme="minorHAnsi" w:hAnsiTheme="minorHAnsi" w:cstheme="minorHAnsi"/>
          <w:b w:val="0"/>
          <w:color w:val="000000"/>
          <w:sz w:val="16"/>
          <w:szCs w:val="16"/>
        </w:rPr>
        <w:t> </w:t>
      </w:r>
      <w:r w:rsidRPr="007647B4">
        <w:rPr>
          <w:rStyle w:val="highlight"/>
          <w:rFonts w:asciiTheme="minorHAnsi" w:hAnsiTheme="minorHAnsi" w:cstheme="minorHAnsi"/>
          <w:b w:val="0"/>
          <w:color w:val="000000"/>
          <w:sz w:val="16"/>
          <w:szCs w:val="16"/>
        </w:rPr>
        <w:t>dependence</w:t>
      </w:r>
      <w:r w:rsidRPr="007647B4">
        <w:rPr>
          <w:rFonts w:asciiTheme="minorHAnsi" w:hAnsiTheme="minorHAnsi" w:cstheme="minorHAnsi"/>
          <w:b w:val="0"/>
          <w:color w:val="000000"/>
          <w:sz w:val="16"/>
          <w:szCs w:val="16"/>
        </w:rPr>
        <w:t xml:space="preserve">. 2015 Nov;45(15):3181-9. </w:t>
      </w:r>
      <w:proofErr w:type="spellStart"/>
      <w:r w:rsidRPr="007647B4">
        <w:rPr>
          <w:rFonts w:asciiTheme="minorHAnsi" w:hAnsiTheme="minorHAnsi" w:cstheme="minorHAnsi"/>
          <w:b w:val="0"/>
          <w:color w:val="000000"/>
          <w:sz w:val="16"/>
          <w:szCs w:val="16"/>
        </w:rPr>
        <w:t>doi</w:t>
      </w:r>
      <w:proofErr w:type="spellEnd"/>
      <w:r w:rsidRPr="007647B4">
        <w:rPr>
          <w:rFonts w:asciiTheme="minorHAnsi" w:hAnsiTheme="minorHAnsi" w:cstheme="minorHAnsi"/>
          <w:b w:val="0"/>
          <w:color w:val="000000"/>
          <w:sz w:val="16"/>
          <w:szCs w:val="16"/>
        </w:rPr>
        <w:t xml:space="preserve">: 10.1017/S0033291715001178. </w:t>
      </w:r>
      <w:proofErr w:type="spellStart"/>
      <w:r w:rsidRPr="007647B4">
        <w:rPr>
          <w:rFonts w:asciiTheme="minorHAnsi" w:hAnsiTheme="minorHAnsi" w:cstheme="minorHAnsi"/>
          <w:b w:val="0"/>
          <w:color w:val="000000"/>
          <w:sz w:val="16"/>
          <w:szCs w:val="16"/>
        </w:rPr>
        <w:t>Epub</w:t>
      </w:r>
      <w:proofErr w:type="spellEnd"/>
      <w:r w:rsidRPr="007647B4">
        <w:rPr>
          <w:rFonts w:asciiTheme="minorHAnsi" w:hAnsiTheme="minorHAnsi" w:cstheme="minorHAnsi"/>
          <w:b w:val="0"/>
          <w:color w:val="000000"/>
          <w:sz w:val="16"/>
          <w:szCs w:val="16"/>
        </w:rPr>
        <w:t xml:space="preserve"> 2015 Jul 27. </w:t>
      </w:r>
    </w:p>
  </w:footnote>
  <w:footnote w:id="50">
    <w:p w14:paraId="7BB568ED" w14:textId="77777777" w:rsidR="007647B4" w:rsidRPr="007647B4" w:rsidRDefault="007647B4" w:rsidP="00237BF4">
      <w:pPr>
        <w:pStyle w:val="FootnoteText"/>
        <w:rPr>
          <w:rFonts w:asciiTheme="minorHAnsi" w:hAnsiTheme="minorHAnsi" w:cstheme="minorHAnsi"/>
          <w:sz w:val="16"/>
          <w:szCs w:val="16"/>
        </w:rPr>
      </w:pPr>
      <w:r w:rsidRPr="007647B4">
        <w:rPr>
          <w:rStyle w:val="FootnoteReference"/>
          <w:rFonts w:asciiTheme="minorHAnsi" w:hAnsiTheme="minorHAnsi" w:cstheme="minorHAnsi"/>
          <w:sz w:val="16"/>
          <w:szCs w:val="16"/>
        </w:rPr>
        <w:footnoteRef/>
      </w:r>
      <w:proofErr w:type="spellStart"/>
      <w:r w:rsidRPr="007647B4">
        <w:rPr>
          <w:rFonts w:asciiTheme="minorHAnsi" w:hAnsiTheme="minorHAnsi" w:cstheme="minorHAnsi"/>
          <w:color w:val="000000" w:themeColor="text1"/>
          <w:sz w:val="16"/>
          <w:szCs w:val="16"/>
        </w:rPr>
        <w:t>Alzghari</w:t>
      </w:r>
      <w:proofErr w:type="spellEnd"/>
      <w:r w:rsidRPr="007647B4">
        <w:rPr>
          <w:rFonts w:asciiTheme="minorHAnsi" w:hAnsiTheme="minorHAnsi" w:cstheme="minorHAnsi"/>
          <w:color w:val="000000" w:themeColor="text1"/>
          <w:sz w:val="16"/>
          <w:szCs w:val="16"/>
        </w:rPr>
        <w:t xml:space="preserve"> S K, ibid.</w:t>
      </w:r>
    </w:p>
  </w:footnote>
  <w:footnote w:id="51">
    <w:p w14:paraId="798751B1" w14:textId="77777777" w:rsidR="007647B4" w:rsidRPr="007647B4" w:rsidRDefault="007647B4" w:rsidP="00237BF4">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Allen, J.A., et al., New product trial, use of edibles, and unexpected highs among marijuana and hashish users in Colorado. Drug Alcohol Depend, 2017. 176: p. 44-47. </w:t>
      </w:r>
    </w:p>
  </w:footnote>
  <w:footnote w:id="52">
    <w:p w14:paraId="5755EE68" w14:textId="77777777" w:rsidR="007647B4" w:rsidRPr="00D32EBA" w:rsidRDefault="007647B4" w:rsidP="00237BF4">
      <w:pPr>
        <w:pStyle w:val="FootnoteText"/>
        <w:rPr>
          <w:rFonts w:asciiTheme="minorHAnsi" w:hAnsiTheme="minorHAnsi" w:cstheme="minorHAnsi"/>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proofErr w:type="spellStart"/>
      <w:r w:rsidRPr="007647B4">
        <w:rPr>
          <w:rFonts w:asciiTheme="minorHAnsi" w:hAnsiTheme="minorHAnsi" w:cstheme="minorHAnsi"/>
          <w:sz w:val="16"/>
          <w:szCs w:val="16"/>
        </w:rPr>
        <w:t>Montanari</w:t>
      </w:r>
      <w:proofErr w:type="spellEnd"/>
      <w:r w:rsidRPr="007647B4">
        <w:rPr>
          <w:rFonts w:asciiTheme="minorHAnsi" w:hAnsiTheme="minorHAnsi" w:cstheme="minorHAnsi"/>
          <w:sz w:val="16"/>
          <w:szCs w:val="16"/>
        </w:rPr>
        <w:t xml:space="preserve"> L, </w:t>
      </w:r>
      <w:proofErr w:type="spellStart"/>
      <w:r w:rsidRPr="007647B4">
        <w:rPr>
          <w:rFonts w:asciiTheme="minorHAnsi" w:hAnsiTheme="minorHAnsi" w:cstheme="minorHAnsi"/>
          <w:sz w:val="16"/>
          <w:szCs w:val="16"/>
        </w:rPr>
        <w:t>Guarita</w:t>
      </w:r>
      <w:proofErr w:type="spellEnd"/>
      <w:r w:rsidRPr="007647B4">
        <w:rPr>
          <w:rFonts w:asciiTheme="minorHAnsi" w:hAnsiTheme="minorHAnsi" w:cstheme="minorHAnsi"/>
          <w:sz w:val="16"/>
          <w:szCs w:val="16"/>
        </w:rPr>
        <w:t xml:space="preserve"> B, </w:t>
      </w:r>
      <w:proofErr w:type="spellStart"/>
      <w:r w:rsidRPr="007647B4">
        <w:rPr>
          <w:rFonts w:asciiTheme="minorHAnsi" w:hAnsiTheme="minorHAnsi" w:cstheme="minorHAnsi"/>
          <w:sz w:val="16"/>
          <w:szCs w:val="16"/>
        </w:rPr>
        <w:t>Mounteney</w:t>
      </w:r>
      <w:proofErr w:type="spellEnd"/>
      <w:r w:rsidRPr="007647B4">
        <w:rPr>
          <w:rFonts w:asciiTheme="minorHAnsi" w:hAnsiTheme="minorHAnsi" w:cstheme="minorHAnsi"/>
          <w:sz w:val="16"/>
          <w:szCs w:val="16"/>
        </w:rPr>
        <w:t xml:space="preserve"> J, Zipfel N, Simon R, Cannabis Use among People Entering Drug Treatment in Europe: A Growing Phenomenon? </w:t>
      </w:r>
      <w:proofErr w:type="spellStart"/>
      <w:r w:rsidRPr="007647B4">
        <w:rPr>
          <w:rFonts w:asciiTheme="minorHAnsi" w:hAnsiTheme="minorHAnsi" w:cstheme="minorHAnsi"/>
          <w:sz w:val="16"/>
          <w:szCs w:val="16"/>
        </w:rPr>
        <w:t>Eur</w:t>
      </w:r>
      <w:proofErr w:type="spellEnd"/>
      <w:r w:rsidRPr="007647B4">
        <w:rPr>
          <w:rFonts w:asciiTheme="minorHAnsi" w:hAnsiTheme="minorHAnsi" w:cstheme="minorHAnsi"/>
          <w:sz w:val="16"/>
          <w:szCs w:val="16"/>
        </w:rPr>
        <w:t xml:space="preserve"> Addict Res </w:t>
      </w:r>
      <w:proofErr w:type="gramStart"/>
      <w:r w:rsidRPr="007647B4">
        <w:rPr>
          <w:rFonts w:asciiTheme="minorHAnsi" w:hAnsiTheme="minorHAnsi" w:cstheme="minorHAnsi"/>
          <w:sz w:val="16"/>
          <w:szCs w:val="16"/>
        </w:rPr>
        <w:t>2017;23:113</w:t>
      </w:r>
      <w:proofErr w:type="gramEnd"/>
      <w:r w:rsidRPr="007647B4">
        <w:rPr>
          <w:rFonts w:asciiTheme="minorHAnsi" w:hAnsiTheme="minorHAnsi" w:cstheme="minorHAnsi"/>
          <w:sz w:val="16"/>
          <w:szCs w:val="16"/>
        </w:rPr>
        <w:t>-121</w:t>
      </w:r>
    </w:p>
  </w:footnote>
  <w:footnote w:id="53">
    <w:p w14:paraId="2E2FC126" w14:textId="77777777" w:rsidR="007647B4" w:rsidRPr="00EE331A" w:rsidRDefault="007647B4" w:rsidP="004F0418">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http://www.emcdda.europa.eu/countr</w:t>
      </w:r>
      <w:r w:rsidRPr="00EE331A">
        <w:rPr>
          <w:rFonts w:asciiTheme="minorHAnsi" w:hAnsiTheme="minorHAnsi" w:cstheme="minorHAnsi"/>
          <w:sz w:val="16"/>
          <w:szCs w:val="16"/>
        </w:rPr>
        <w:t>ies/drug-reports/2017/netherlands/drug-laws-and-offences_en</w:t>
      </w:r>
    </w:p>
  </w:footnote>
  <w:footnote w:id="54">
    <w:p w14:paraId="33888A3F" w14:textId="2999CE86" w:rsidR="007647B4" w:rsidRPr="007647B4" w:rsidRDefault="007647B4" w:rsidP="00232715">
      <w:pPr>
        <w:rPr>
          <w:rFonts w:asciiTheme="minorHAnsi" w:hAnsiTheme="minorHAnsi" w:cstheme="minorHAnsi"/>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IEA Discussion Paper No.90 JOINT VENTURE Estimating the Size and Potential of the UK Cannabis Market Christopher </w:t>
      </w:r>
      <w:proofErr w:type="spellStart"/>
      <w:r w:rsidRPr="007647B4">
        <w:rPr>
          <w:rFonts w:asciiTheme="minorHAnsi" w:hAnsiTheme="minorHAnsi" w:cstheme="minorHAnsi"/>
          <w:sz w:val="16"/>
          <w:szCs w:val="16"/>
        </w:rPr>
        <w:t>Snowdon</w:t>
      </w:r>
      <w:proofErr w:type="spellEnd"/>
      <w:r w:rsidRPr="007647B4">
        <w:rPr>
          <w:rFonts w:asciiTheme="minorHAnsi" w:hAnsiTheme="minorHAnsi" w:cstheme="minorHAnsi"/>
          <w:sz w:val="16"/>
          <w:szCs w:val="16"/>
        </w:rPr>
        <w:t xml:space="preserve"> June 2018</w:t>
      </w:r>
    </w:p>
  </w:footnote>
  <w:footnote w:id="55">
    <w:p w14:paraId="629F651F" w14:textId="7DFEB1BE" w:rsidR="007647B4" w:rsidRPr="007647B4" w:rsidRDefault="007647B4" w:rsidP="00D74832">
      <w:pPr>
        <w:ind w:right="-720"/>
        <w:rPr>
          <w:rFonts w:asciiTheme="minorHAnsi" w:hAnsiTheme="minorHAnsi" w:cstheme="minorHAnsi"/>
          <w:sz w:val="16"/>
          <w:szCs w:val="16"/>
        </w:rPr>
      </w:pPr>
      <w:r w:rsidRPr="007647B4">
        <w:rPr>
          <w:rStyle w:val="FootnoteReference"/>
          <w:rFonts w:asciiTheme="minorHAnsi" w:hAnsiTheme="minorHAnsi" w:cstheme="minorHAnsi"/>
          <w:color w:val="000000" w:themeColor="text1"/>
          <w:sz w:val="16"/>
          <w:szCs w:val="16"/>
        </w:rPr>
        <w:footnoteRef/>
      </w:r>
      <w:r w:rsidRPr="007647B4">
        <w:rPr>
          <w:rFonts w:asciiTheme="minorHAnsi" w:hAnsiTheme="minorHAnsi" w:cstheme="minorHAnsi"/>
          <w:color w:val="000000" w:themeColor="text1"/>
          <w:sz w:val="16"/>
          <w:szCs w:val="16"/>
        </w:rPr>
        <w:t xml:space="preserve"> McLellan, A. A., Ware, M. A., Boyd, S., Chow, G., </w:t>
      </w:r>
      <w:proofErr w:type="spellStart"/>
      <w:r w:rsidRPr="007647B4">
        <w:rPr>
          <w:rFonts w:asciiTheme="minorHAnsi" w:hAnsiTheme="minorHAnsi" w:cstheme="minorHAnsi"/>
          <w:color w:val="000000" w:themeColor="text1"/>
          <w:sz w:val="16"/>
          <w:szCs w:val="16"/>
        </w:rPr>
        <w:t>Jesso</w:t>
      </w:r>
      <w:proofErr w:type="spellEnd"/>
      <w:r w:rsidRPr="007647B4">
        <w:rPr>
          <w:rFonts w:asciiTheme="minorHAnsi" w:hAnsiTheme="minorHAnsi" w:cstheme="minorHAnsi"/>
          <w:color w:val="000000" w:themeColor="text1"/>
          <w:sz w:val="16"/>
          <w:szCs w:val="16"/>
        </w:rPr>
        <w:t>, M., Kendall, P., … Zahn, C. (2016). A Framework for the Legalization and Regulation of Cannabis in Canada (policies). Health Canada. Retrieved from https://www.canada.ca/en/health-canada/services/drugs-medication/cannabis/laws-regulations/task-force-cannabis-legalization-regulation/framework-legalization-regulation-cannabis-in-canada.html</w:t>
      </w:r>
    </w:p>
  </w:footnote>
  <w:footnote w:id="56">
    <w:p w14:paraId="317F5713" w14:textId="77777777" w:rsidR="007647B4" w:rsidRPr="00A47FC2" w:rsidRDefault="007647B4" w:rsidP="006613D7">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EE331A">
        <w:rPr>
          <w:rFonts w:asciiTheme="minorHAnsi" w:hAnsiTheme="minorHAnsi" w:cstheme="minorHAnsi"/>
          <w:color w:val="000000" w:themeColor="text1"/>
          <w:sz w:val="16"/>
          <w:szCs w:val="16"/>
        </w:rPr>
        <w:t>New Mexico Medical Use of Cannabis Law; Title 7, Ch. 34, Part 3. Section 7.34.3.9 (c): QUANTITY OF USABLE CANNABIS THAT MAY BE POSSESSED BY A QUALIFIED PATIENT OR PRIMARY CAREGIVER</w:t>
      </w:r>
    </w:p>
  </w:footnote>
  <w:footnote w:id="57">
    <w:p w14:paraId="21B6F3E6" w14:textId="594F2957" w:rsidR="007647B4" w:rsidRPr="00A47FC2"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proofErr w:type="spellStart"/>
      <w:r w:rsidRPr="00EE331A">
        <w:rPr>
          <w:rFonts w:asciiTheme="minorHAnsi" w:hAnsiTheme="minorHAnsi" w:cstheme="minorHAnsi"/>
          <w:color w:val="000000" w:themeColor="text1"/>
          <w:sz w:val="16"/>
          <w:szCs w:val="16"/>
        </w:rPr>
        <w:t>H</w:t>
      </w:r>
      <w:r w:rsidRPr="00A47FC2">
        <w:rPr>
          <w:rFonts w:asciiTheme="minorHAnsi" w:hAnsiTheme="minorHAnsi" w:cstheme="minorHAnsi"/>
          <w:color w:val="000000" w:themeColor="text1"/>
          <w:sz w:val="16"/>
          <w:szCs w:val="16"/>
        </w:rPr>
        <w:t>ijevych</w:t>
      </w:r>
      <w:proofErr w:type="spellEnd"/>
      <w:r w:rsidRPr="00A47FC2">
        <w:rPr>
          <w:rFonts w:asciiTheme="minorHAnsi" w:hAnsiTheme="minorHAnsi" w:cstheme="minorHAnsi"/>
          <w:color w:val="000000" w:themeColor="text1"/>
          <w:sz w:val="16"/>
          <w:szCs w:val="16"/>
        </w:rPr>
        <w:t xml:space="preserve">, K. and B.E. Garrett, The role of menthol in cigarettes as a reinforcer of smoking behavior. Nicotine </w:t>
      </w:r>
      <w:proofErr w:type="spellStart"/>
      <w:r w:rsidRPr="00A47FC2">
        <w:rPr>
          <w:rFonts w:asciiTheme="minorHAnsi" w:hAnsiTheme="minorHAnsi" w:cstheme="minorHAnsi"/>
          <w:color w:val="000000" w:themeColor="text1"/>
          <w:sz w:val="16"/>
          <w:szCs w:val="16"/>
        </w:rPr>
        <w:t>Tob</w:t>
      </w:r>
      <w:proofErr w:type="spellEnd"/>
      <w:r w:rsidRPr="00A47FC2">
        <w:rPr>
          <w:rFonts w:asciiTheme="minorHAnsi" w:hAnsiTheme="minorHAnsi" w:cstheme="minorHAnsi"/>
          <w:color w:val="000000" w:themeColor="text1"/>
          <w:sz w:val="16"/>
          <w:szCs w:val="16"/>
        </w:rPr>
        <w:t xml:space="preserve"> Res, 2010. 12 </w:t>
      </w:r>
      <w:proofErr w:type="spellStart"/>
      <w:r w:rsidRPr="00A47FC2">
        <w:rPr>
          <w:rFonts w:asciiTheme="minorHAnsi" w:hAnsiTheme="minorHAnsi" w:cstheme="minorHAnsi"/>
          <w:color w:val="000000" w:themeColor="text1"/>
          <w:sz w:val="16"/>
          <w:szCs w:val="16"/>
        </w:rPr>
        <w:t>Suppl</w:t>
      </w:r>
      <w:proofErr w:type="spellEnd"/>
      <w:r w:rsidRPr="00A47FC2">
        <w:rPr>
          <w:rFonts w:asciiTheme="minorHAnsi" w:hAnsiTheme="minorHAnsi" w:cstheme="minorHAnsi"/>
          <w:color w:val="000000" w:themeColor="text1"/>
          <w:sz w:val="16"/>
          <w:szCs w:val="16"/>
        </w:rPr>
        <w:t xml:space="preserve"> 2: p. S110-6.</w:t>
      </w:r>
    </w:p>
  </w:footnote>
  <w:footnote w:id="58">
    <w:p w14:paraId="10DA0A34" w14:textId="7ADFB308" w:rsidR="007647B4" w:rsidRPr="00804E4F" w:rsidRDefault="007647B4">
      <w:pPr>
        <w:pStyle w:val="FootnoteText"/>
        <w:rPr>
          <w:rFonts w:cs="Arial"/>
          <w:sz w:val="16"/>
          <w:szCs w:val="16"/>
        </w:rPr>
      </w:pPr>
      <w:r w:rsidRPr="00804E4F">
        <w:rPr>
          <w:rStyle w:val="FootnoteReference"/>
          <w:rFonts w:cs="Arial"/>
          <w:sz w:val="16"/>
          <w:szCs w:val="16"/>
        </w:rPr>
        <w:footnoteRef/>
      </w:r>
      <w:r w:rsidRPr="00804E4F">
        <w:rPr>
          <w:rFonts w:cs="Arial"/>
          <w:sz w:val="16"/>
          <w:szCs w:val="16"/>
        </w:rPr>
        <w:t xml:space="preserve"> </w:t>
      </w:r>
      <w:r w:rsidRPr="00804E4F">
        <w:rPr>
          <w:rFonts w:cs="Arial"/>
          <w:color w:val="000000" w:themeColor="text1"/>
          <w:sz w:val="16"/>
          <w:szCs w:val="16"/>
        </w:rPr>
        <w:t>Garten, S. and R.V. Falkner, Role of mentholated cigarettes in increased nicotine dependence and greater risk of tobacco-attributable disease. Prev Med, 2004. 38(6): p. 793-8.</w:t>
      </w:r>
    </w:p>
  </w:footnote>
  <w:footnote w:id="59">
    <w:p w14:paraId="692BBD85" w14:textId="73DCE0FD" w:rsidR="007647B4" w:rsidRPr="007647B4" w:rsidRDefault="007647B4" w:rsidP="00670769">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Surgeon General, Preventing Tobacco Use Among Youth and Young Adults: A Report of the Surgeon General. 2012, Department of Health and Human Services. </w:t>
      </w:r>
    </w:p>
  </w:footnote>
  <w:footnote w:id="60">
    <w:p w14:paraId="2661759D" w14:textId="1B7A1268" w:rsidR="007647B4" w:rsidRPr="00A47FC2"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proofErr w:type="spellStart"/>
      <w:r w:rsidRPr="00EE331A">
        <w:rPr>
          <w:rFonts w:asciiTheme="minorHAnsi" w:hAnsiTheme="minorHAnsi" w:cstheme="minorHAnsi"/>
          <w:color w:val="000000" w:themeColor="text1"/>
          <w:sz w:val="16"/>
          <w:szCs w:val="16"/>
        </w:rPr>
        <w:t>Rath</w:t>
      </w:r>
      <w:proofErr w:type="spellEnd"/>
      <w:r w:rsidRPr="00EE331A">
        <w:rPr>
          <w:rFonts w:asciiTheme="minorHAnsi" w:hAnsiTheme="minorHAnsi" w:cstheme="minorHAnsi"/>
          <w:color w:val="000000" w:themeColor="text1"/>
          <w:sz w:val="16"/>
          <w:szCs w:val="16"/>
        </w:rPr>
        <w:t>, J.M., et al., Correlates of current menthol cigarette and flavored other tobacco product use among U.S. young adults. Addict Behav, 2016. 62: p. 35-41.</w:t>
      </w:r>
    </w:p>
  </w:footnote>
  <w:footnote w:id="61">
    <w:p w14:paraId="0972490E" w14:textId="1583B61B" w:rsidR="007647B4" w:rsidRPr="007647B4" w:rsidRDefault="007647B4" w:rsidP="00670769">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proofErr w:type="spellStart"/>
      <w:r w:rsidRPr="007647B4">
        <w:rPr>
          <w:rFonts w:asciiTheme="minorHAnsi" w:hAnsiTheme="minorHAnsi" w:cstheme="minorHAnsi"/>
          <w:color w:val="000000" w:themeColor="text1"/>
          <w:sz w:val="16"/>
          <w:szCs w:val="16"/>
        </w:rPr>
        <w:t>Yerger</w:t>
      </w:r>
      <w:proofErr w:type="spellEnd"/>
      <w:r w:rsidRPr="007647B4">
        <w:rPr>
          <w:rFonts w:asciiTheme="minorHAnsi" w:hAnsiTheme="minorHAnsi" w:cstheme="minorHAnsi"/>
          <w:color w:val="000000" w:themeColor="text1"/>
          <w:sz w:val="16"/>
          <w:szCs w:val="16"/>
        </w:rPr>
        <w:t xml:space="preserve">, V.B., Menthol's potential effects on nicotine dependence: a tobacco industry perspective. Tob Control, 2011. 20 Suppl 2: p. ii29-36. </w:t>
      </w:r>
    </w:p>
  </w:footnote>
  <w:footnote w:id="62">
    <w:p w14:paraId="0D01E893" w14:textId="3972AFBB" w:rsidR="007647B4" w:rsidRPr="00EE331A"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EE331A">
        <w:rPr>
          <w:rFonts w:asciiTheme="minorHAnsi" w:hAnsiTheme="minorHAnsi" w:cstheme="minorHAnsi"/>
          <w:color w:val="000000" w:themeColor="text1"/>
          <w:sz w:val="16"/>
          <w:szCs w:val="16"/>
        </w:rPr>
        <w:t>Alexander, L.A., et al., Why We Must Continue to Investigate Menthol's Role in the African American Smoking Paradox. Nicotine &amp; Tobacco Research, 2016. 18: p. S91-S101.</w:t>
      </w:r>
    </w:p>
  </w:footnote>
  <w:footnote w:id="63">
    <w:p w14:paraId="42367E4E" w14:textId="7D17B45A" w:rsidR="007647B4" w:rsidRPr="007647B4" w:rsidRDefault="007647B4" w:rsidP="00761832">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Giovino, G.A., et al., Differential trends in cigarette smoking in the USA: is menthol slowing progress? Tob Control, 2015. 24(1): p. 28-37. </w:t>
      </w:r>
    </w:p>
  </w:footnote>
  <w:footnote w:id="64">
    <w:p w14:paraId="1F576966" w14:textId="267F02CC" w:rsidR="007647B4" w:rsidRPr="007647B4" w:rsidRDefault="007647B4" w:rsidP="00761832">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Foulds, J., et al., Do smokers of menthol cigarettes find it harder to quit smoking? Nicotine Tob Res, 2010. 12 Suppl 2: p. S102-9.</w:t>
      </w:r>
    </w:p>
  </w:footnote>
  <w:footnote w:id="65">
    <w:p w14:paraId="47484162" w14:textId="4970160B" w:rsidR="007647B4" w:rsidRPr="00A47FC2"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color w:val="000000" w:themeColor="text1"/>
          <w:sz w:val="16"/>
          <w:szCs w:val="16"/>
        </w:rPr>
        <w:t xml:space="preserve"> Kong, G., et al., Menthol cig</w:t>
      </w:r>
      <w:r w:rsidRPr="00EE331A">
        <w:rPr>
          <w:rFonts w:asciiTheme="minorHAnsi" w:hAnsiTheme="minorHAnsi" w:cstheme="minorHAnsi"/>
          <w:color w:val="000000" w:themeColor="text1"/>
          <w:sz w:val="16"/>
          <w:szCs w:val="16"/>
        </w:rPr>
        <w:t xml:space="preserve">arette and marijuana use among adolescents. Nicotine Tob Res, 2013. 15(12): p. 2094-9. </w:t>
      </w:r>
    </w:p>
  </w:footnote>
  <w:footnote w:id="66">
    <w:p w14:paraId="4945E4F1" w14:textId="236A5579" w:rsidR="007647B4" w:rsidRPr="007647B4" w:rsidRDefault="007647B4" w:rsidP="00761832">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color w:val="000000" w:themeColor="text1"/>
          <w:sz w:val="16"/>
          <w:szCs w:val="16"/>
        </w:rPr>
        <w:t xml:space="preserve">Schauer, G.L., et al., Trends in and characteristics of marijuana and menthol cigarette use among current cigarette smokers, 2005-2014. Nicotine Tob Res, 2017. </w:t>
      </w:r>
    </w:p>
  </w:footnote>
  <w:footnote w:id="67">
    <w:p w14:paraId="4BD8863F" w14:textId="22702989" w:rsidR="007647B4" w:rsidRPr="00EE331A"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color w:val="000000" w:themeColor="text1"/>
          <w:sz w:val="16"/>
          <w:szCs w:val="16"/>
        </w:rPr>
        <w:t xml:space="preserve"> Hugh</w:t>
      </w:r>
      <w:r w:rsidRPr="00EE331A">
        <w:rPr>
          <w:rFonts w:asciiTheme="minorHAnsi" w:hAnsiTheme="minorHAnsi" w:cstheme="minorHAnsi"/>
          <w:color w:val="000000" w:themeColor="text1"/>
          <w:sz w:val="16"/>
          <w:szCs w:val="16"/>
        </w:rPr>
        <w:t>es, Z., Review: PURE Vapor Pen, in DOPE Magazine. 2016: Seattle, WA.</w:t>
      </w:r>
    </w:p>
  </w:footnote>
  <w:footnote w:id="68">
    <w:p w14:paraId="384B5986" w14:textId="6B1CB150" w:rsidR="007647B4" w:rsidRPr="007647B4" w:rsidRDefault="007647B4" w:rsidP="00761832">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color w:val="000000" w:themeColor="text1"/>
          <w:sz w:val="16"/>
          <w:szCs w:val="16"/>
        </w:rPr>
        <w:t xml:space="preserve">Surgeon General, Preventing Tobacco Use Among Youth and Young Adults: A Report of the Surgeon General. 2012, Department of Health and Human Services. </w:t>
      </w:r>
    </w:p>
  </w:footnote>
  <w:footnote w:id="69">
    <w:p w14:paraId="200DCE70" w14:textId="3D1630BE" w:rsidR="007647B4" w:rsidRPr="00A47FC2"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proofErr w:type="spellStart"/>
      <w:r w:rsidRPr="00EE331A">
        <w:rPr>
          <w:rFonts w:asciiTheme="minorHAnsi" w:hAnsiTheme="minorHAnsi" w:cstheme="minorHAnsi"/>
          <w:color w:val="000000" w:themeColor="text1"/>
          <w:sz w:val="16"/>
          <w:szCs w:val="16"/>
        </w:rPr>
        <w:t>Villanti</w:t>
      </w:r>
      <w:proofErr w:type="spellEnd"/>
      <w:r w:rsidRPr="00EE331A">
        <w:rPr>
          <w:rFonts w:asciiTheme="minorHAnsi" w:hAnsiTheme="minorHAnsi" w:cstheme="minorHAnsi"/>
          <w:color w:val="000000" w:themeColor="text1"/>
          <w:sz w:val="16"/>
          <w:szCs w:val="16"/>
        </w:rPr>
        <w:t xml:space="preserve">, A.C., et al., Flavored Tobacco Product Use in Youth and Adults: Findings </w:t>
      </w:r>
      <w:proofErr w:type="gramStart"/>
      <w:r w:rsidRPr="00EE331A">
        <w:rPr>
          <w:rFonts w:asciiTheme="minorHAnsi" w:hAnsiTheme="minorHAnsi" w:cstheme="minorHAnsi"/>
          <w:color w:val="000000" w:themeColor="text1"/>
          <w:sz w:val="16"/>
          <w:szCs w:val="16"/>
        </w:rPr>
        <w:t>From</w:t>
      </w:r>
      <w:proofErr w:type="gramEnd"/>
      <w:r w:rsidRPr="00EE331A">
        <w:rPr>
          <w:rFonts w:asciiTheme="minorHAnsi" w:hAnsiTheme="minorHAnsi" w:cstheme="minorHAnsi"/>
          <w:color w:val="000000" w:themeColor="text1"/>
          <w:sz w:val="16"/>
          <w:szCs w:val="16"/>
        </w:rPr>
        <w:t xml:space="preserve"> the First Wave of the PATH Study (2013-2014). Am J Prev Med, 2017. 53(2): p. 139-151.</w:t>
      </w:r>
    </w:p>
  </w:footnote>
  <w:footnote w:id="70">
    <w:p w14:paraId="3E683697" w14:textId="65CCE4E7" w:rsidR="007647B4" w:rsidRPr="007647B4" w:rsidRDefault="007647B4" w:rsidP="00761832">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Carpenter, C.M., et al., New cigarette brands with flavors that appeal to youth: tobacco marketing strategies. Health Aff (Millwood), 2005. 24(6): p. 1601-10. </w:t>
      </w:r>
    </w:p>
  </w:footnote>
  <w:footnote w:id="71">
    <w:p w14:paraId="7D12FDA1" w14:textId="3408973E" w:rsidR="007647B4" w:rsidRPr="007647B4" w:rsidRDefault="007647B4" w:rsidP="00761832">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McDonald, E.A. and P.M. Ling, One of several 'toys' for smoking: young adult experiences with electronic cigarettes in New York City. Tob Control, 2015. 24(6): p. 588-93. </w:t>
      </w:r>
    </w:p>
  </w:footnote>
  <w:footnote w:id="72">
    <w:p w14:paraId="583A1B85" w14:textId="00780543" w:rsidR="007647B4" w:rsidRPr="007647B4" w:rsidRDefault="007647B4" w:rsidP="00761832">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Kong, G., et al., Reasons for Electronic Cigarette Experimentation and Discontinuation Among Adolescents and Young Adults. Nicotine Tob Res, 2015. 17(7): p. 847-54. </w:t>
      </w:r>
    </w:p>
  </w:footnote>
  <w:footnote w:id="73">
    <w:p w14:paraId="2A56FA2B" w14:textId="700E4129" w:rsidR="007647B4" w:rsidRPr="007647B4" w:rsidRDefault="007647B4" w:rsidP="00761832">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color w:val="000000" w:themeColor="text1"/>
          <w:sz w:val="16"/>
          <w:szCs w:val="16"/>
        </w:rPr>
        <w:t xml:space="preserve"> Ambrose, B.K., et al., Flavored Tobacco Product Use Among US Youth Aged 12- 17 Years, 2013-2014. JAMA, 2015. 314(17): p. 1871-3. </w:t>
      </w:r>
    </w:p>
  </w:footnote>
  <w:footnote w:id="74">
    <w:p w14:paraId="43AC8ECE" w14:textId="493CA3BA" w:rsidR="007647B4" w:rsidRPr="00804E4F" w:rsidRDefault="007647B4">
      <w:pPr>
        <w:pStyle w:val="FootnoteText"/>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EE331A">
        <w:rPr>
          <w:rFonts w:asciiTheme="minorHAnsi" w:hAnsiTheme="minorHAnsi" w:cstheme="minorHAnsi"/>
          <w:color w:val="000000" w:themeColor="text1"/>
          <w:sz w:val="16"/>
          <w:szCs w:val="16"/>
        </w:rPr>
        <w:t xml:space="preserve">Courtemanche, C.J., M.K. Palmer, and M.F. Pesko, Influence of the Flavored Cigarette Ban on Adolescent Tobacco Use. Am J Prev Med, 2017. 52(5): p. e139-e146. </w:t>
      </w:r>
    </w:p>
  </w:footnote>
  <w:footnote w:id="75">
    <w:p w14:paraId="4640F072" w14:textId="77777777" w:rsidR="007647B4" w:rsidRPr="00A47FC2" w:rsidRDefault="007647B4" w:rsidP="001A7174">
      <w:pPr>
        <w:pStyle w:val="FootnoteText"/>
        <w:rPr>
          <w:rFonts w:asciiTheme="minorHAnsi" w:hAnsiTheme="minorHAnsi" w:cstheme="minorHAnsi"/>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proofErr w:type="spellStart"/>
      <w:r w:rsidRPr="00EE331A">
        <w:rPr>
          <w:rFonts w:asciiTheme="minorHAnsi" w:hAnsiTheme="minorHAnsi" w:cstheme="minorHAnsi"/>
          <w:color w:val="000000" w:themeColor="text1"/>
          <w:sz w:val="16"/>
          <w:szCs w:val="16"/>
        </w:rPr>
        <w:t>Sonde</w:t>
      </w:r>
      <w:proofErr w:type="spellEnd"/>
      <w:r w:rsidRPr="00EE331A">
        <w:rPr>
          <w:rFonts w:asciiTheme="minorHAnsi" w:hAnsiTheme="minorHAnsi" w:cstheme="minorHAnsi"/>
          <w:color w:val="000000" w:themeColor="text1"/>
          <w:sz w:val="16"/>
          <w:szCs w:val="16"/>
        </w:rPr>
        <w:t xml:space="preserve">, K., Pot-Infused Beer Has Hit Shelves: Is It </w:t>
      </w:r>
      <w:proofErr w:type="gramStart"/>
      <w:r w:rsidRPr="00EE331A">
        <w:rPr>
          <w:rFonts w:asciiTheme="minorHAnsi" w:hAnsiTheme="minorHAnsi" w:cstheme="minorHAnsi"/>
          <w:color w:val="000000" w:themeColor="text1"/>
          <w:sz w:val="16"/>
          <w:szCs w:val="16"/>
        </w:rPr>
        <w:t>Legal?,</w:t>
      </w:r>
      <w:proofErr w:type="gramEnd"/>
      <w:r w:rsidRPr="00EE331A">
        <w:rPr>
          <w:rFonts w:asciiTheme="minorHAnsi" w:hAnsiTheme="minorHAnsi" w:cstheme="minorHAnsi"/>
          <w:color w:val="000000" w:themeColor="text1"/>
          <w:sz w:val="16"/>
          <w:szCs w:val="16"/>
        </w:rPr>
        <w:t xml:space="preserve"> Mother Jones, Aug. 2, 2018.</w:t>
      </w:r>
    </w:p>
  </w:footnote>
  <w:footnote w:id="76">
    <w:p w14:paraId="29BC2420" w14:textId="5F79E463" w:rsidR="007647B4" w:rsidRPr="007647B4" w:rsidRDefault="007647B4">
      <w:pPr>
        <w:pStyle w:val="FootnoteText"/>
        <w:rPr>
          <w:rFonts w:asciiTheme="minorHAnsi" w:hAnsiTheme="minorHAnsi" w:cstheme="minorHAnsi"/>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Malik VS, Popkin BM, Bray GA, </w:t>
      </w:r>
      <w:proofErr w:type="spellStart"/>
      <w:r w:rsidRPr="007647B4">
        <w:rPr>
          <w:rFonts w:asciiTheme="minorHAnsi" w:hAnsiTheme="minorHAnsi" w:cstheme="minorHAnsi"/>
          <w:sz w:val="16"/>
          <w:szCs w:val="16"/>
        </w:rPr>
        <w:t>Despres</w:t>
      </w:r>
      <w:proofErr w:type="spellEnd"/>
      <w:r w:rsidRPr="007647B4">
        <w:rPr>
          <w:rFonts w:asciiTheme="minorHAnsi" w:hAnsiTheme="minorHAnsi" w:cstheme="minorHAnsi"/>
          <w:sz w:val="16"/>
          <w:szCs w:val="16"/>
        </w:rPr>
        <w:t xml:space="preserve"> JP, Hu FB. Sugar-sweetened beverages, obesity, type 2 diabetes mellitus, and cardiovascular disease risk. </w:t>
      </w:r>
      <w:r w:rsidRPr="007647B4">
        <w:rPr>
          <w:rFonts w:asciiTheme="minorHAnsi" w:hAnsiTheme="minorHAnsi" w:cstheme="minorHAnsi"/>
          <w:i/>
          <w:iCs/>
          <w:sz w:val="16"/>
          <w:szCs w:val="16"/>
        </w:rPr>
        <w:t>Circulation</w:t>
      </w:r>
      <w:r w:rsidRPr="007647B4">
        <w:rPr>
          <w:rFonts w:asciiTheme="minorHAnsi" w:hAnsiTheme="minorHAnsi" w:cstheme="minorHAnsi"/>
          <w:sz w:val="16"/>
          <w:szCs w:val="16"/>
        </w:rPr>
        <w:t>. 2010;121(11):1356-1364</w:t>
      </w:r>
    </w:p>
  </w:footnote>
  <w:footnote w:id="77">
    <w:p w14:paraId="20FEA3BA" w14:textId="4271DC6A" w:rsidR="007647B4" w:rsidRPr="007647B4" w:rsidRDefault="007647B4" w:rsidP="007647B4">
      <w:pPr>
        <w:rPr>
          <w:rFonts w:asciiTheme="minorHAnsi" w:hAnsiTheme="minorHAnsi" w:cstheme="minorHAnsi"/>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proofErr w:type="spellStart"/>
      <w:r w:rsidRPr="007647B4">
        <w:rPr>
          <w:rFonts w:asciiTheme="minorHAnsi" w:hAnsiTheme="minorHAnsi" w:cstheme="minorHAnsi"/>
          <w:sz w:val="16"/>
          <w:szCs w:val="16"/>
        </w:rPr>
        <w:t>Metzner</w:t>
      </w:r>
      <w:proofErr w:type="spellEnd"/>
      <w:r w:rsidRPr="007647B4">
        <w:rPr>
          <w:rFonts w:asciiTheme="minorHAnsi" w:hAnsiTheme="minorHAnsi" w:cstheme="minorHAnsi"/>
          <w:sz w:val="16"/>
          <w:szCs w:val="16"/>
        </w:rPr>
        <w:t xml:space="preserve">, C., &amp; Kraus, L. (2008). The impact of alcopops on adolescent drinking: a literature review. Alcohol and Alcoholism (Oxford, </w:t>
      </w:r>
      <w:proofErr w:type="spellStart"/>
      <w:r w:rsidRPr="007647B4">
        <w:rPr>
          <w:rFonts w:asciiTheme="minorHAnsi" w:hAnsiTheme="minorHAnsi" w:cstheme="minorHAnsi"/>
          <w:sz w:val="16"/>
          <w:szCs w:val="16"/>
        </w:rPr>
        <w:t>Oxfordshire</w:t>
      </w:r>
      <w:proofErr w:type="spellEnd"/>
      <w:r w:rsidRPr="007647B4">
        <w:rPr>
          <w:rFonts w:asciiTheme="minorHAnsi" w:hAnsiTheme="minorHAnsi" w:cstheme="minorHAnsi"/>
          <w:sz w:val="16"/>
          <w:szCs w:val="16"/>
        </w:rPr>
        <w:t>), 43(2), 230–239. https://doi.org/10.1093/alcalc/agm148</w:t>
      </w:r>
    </w:p>
  </w:footnote>
  <w:footnote w:id="78">
    <w:p w14:paraId="44552B64" w14:textId="7BB02E76" w:rsidR="007647B4" w:rsidRPr="007647B4" w:rsidRDefault="007647B4" w:rsidP="001A7174">
      <w:pPr>
        <w:pStyle w:val="FootnoteText"/>
        <w:rPr>
          <w:rFonts w:cs="Arial"/>
          <w:color w:val="000000" w:themeColor="text1"/>
          <w:sz w:val="16"/>
          <w:szCs w:val="16"/>
        </w:rPr>
      </w:pPr>
      <w:r w:rsidRPr="00D32EBA">
        <w:rPr>
          <w:rStyle w:val="FootnoteReference"/>
          <w:rFonts w:asciiTheme="minorHAnsi" w:hAnsiTheme="minorHAnsi" w:cstheme="minorHAnsi"/>
          <w:color w:val="000000" w:themeColor="text1"/>
          <w:sz w:val="16"/>
          <w:szCs w:val="16"/>
        </w:rPr>
        <w:footnoteRef/>
      </w:r>
      <w:r w:rsidRPr="00D32EBA">
        <w:rPr>
          <w:rFonts w:asciiTheme="minorHAnsi" w:hAnsiTheme="minorHAnsi" w:cstheme="minorHAnsi"/>
          <w:color w:val="000000" w:themeColor="text1"/>
          <w:sz w:val="16"/>
          <w:szCs w:val="16"/>
        </w:rPr>
        <w:t xml:space="preserve"> </w:t>
      </w:r>
      <w:proofErr w:type="spellStart"/>
      <w:r w:rsidRPr="00EE331A">
        <w:rPr>
          <w:rFonts w:asciiTheme="minorHAnsi" w:hAnsiTheme="minorHAnsi" w:cstheme="minorHAnsi"/>
          <w:color w:val="000000" w:themeColor="text1"/>
          <w:sz w:val="16"/>
          <w:szCs w:val="16"/>
        </w:rPr>
        <w:t>Lensvelt</w:t>
      </w:r>
      <w:proofErr w:type="spellEnd"/>
      <w:r w:rsidRPr="00EE331A">
        <w:rPr>
          <w:rFonts w:asciiTheme="minorHAnsi" w:hAnsiTheme="minorHAnsi" w:cstheme="minorHAnsi"/>
          <w:color w:val="000000" w:themeColor="text1"/>
          <w:sz w:val="16"/>
          <w:szCs w:val="16"/>
        </w:rPr>
        <w:t xml:space="preserve"> E, Liang W, Gilmore W, Gordon E, Hobday M, </w:t>
      </w:r>
      <w:proofErr w:type="spellStart"/>
      <w:r w:rsidRPr="00EE331A">
        <w:rPr>
          <w:rFonts w:asciiTheme="minorHAnsi" w:hAnsiTheme="minorHAnsi" w:cstheme="minorHAnsi"/>
          <w:color w:val="000000" w:themeColor="text1"/>
          <w:sz w:val="16"/>
          <w:szCs w:val="16"/>
        </w:rPr>
        <w:t>Chikritzhs</w:t>
      </w:r>
      <w:proofErr w:type="spellEnd"/>
      <w:r w:rsidRPr="00EE331A">
        <w:rPr>
          <w:rFonts w:asciiTheme="minorHAnsi" w:hAnsiTheme="minorHAnsi" w:cstheme="minorHAnsi"/>
          <w:color w:val="000000" w:themeColor="text1"/>
          <w:sz w:val="16"/>
          <w:szCs w:val="16"/>
        </w:rPr>
        <w:t xml:space="preserve"> T. Effect of the Australian "Alcopops Tax" on Alcohol-Related Emergency Department</w:t>
      </w:r>
      <w:r w:rsidRPr="00A47FC2">
        <w:rPr>
          <w:rFonts w:asciiTheme="minorHAnsi" w:hAnsiTheme="minorHAnsi" w:cstheme="minorHAnsi"/>
          <w:color w:val="000000" w:themeColor="text1"/>
          <w:sz w:val="16"/>
          <w:szCs w:val="16"/>
        </w:rPr>
        <w:t xml:space="preserve"> Presentations for Injury in Two States. </w:t>
      </w:r>
      <w:r w:rsidRPr="007647B4">
        <w:rPr>
          <w:rFonts w:asciiTheme="minorHAnsi" w:hAnsiTheme="minorHAnsi" w:cstheme="minorHAnsi"/>
          <w:color w:val="000000" w:themeColor="text1"/>
          <w:sz w:val="16"/>
          <w:szCs w:val="16"/>
        </w:rPr>
        <w:t>J Stud Alcohol Drugs. 2016 Sep;77(5):730-9.</w:t>
      </w:r>
    </w:p>
  </w:footnote>
  <w:footnote w:id="79">
    <w:p w14:paraId="125B26D4" w14:textId="77777777" w:rsidR="007647B4" w:rsidRPr="00A47FC2" w:rsidRDefault="007647B4" w:rsidP="000B7EE5">
      <w:pPr>
        <w:pStyle w:val="FootnoteText"/>
        <w:rPr>
          <w:rFonts w:asciiTheme="minorHAnsi" w:hAnsiTheme="minorHAnsi" w:cstheme="minorHAnsi"/>
          <w:sz w:val="16"/>
        </w:rPr>
      </w:pPr>
      <w:r w:rsidRPr="00D32EBA">
        <w:rPr>
          <w:rStyle w:val="FootnoteReference"/>
          <w:rFonts w:asciiTheme="minorHAnsi" w:hAnsiTheme="minorHAnsi" w:cstheme="minorHAnsi"/>
          <w:sz w:val="16"/>
        </w:rPr>
        <w:footnoteRef/>
      </w:r>
      <w:r w:rsidRPr="00D32EBA">
        <w:rPr>
          <w:rFonts w:asciiTheme="minorHAnsi" w:hAnsiTheme="minorHAnsi" w:cstheme="minorHAnsi"/>
          <w:sz w:val="16"/>
        </w:rPr>
        <w:t xml:space="preserve"> Surgeon General. </w:t>
      </w:r>
      <w:r w:rsidRPr="00EE331A">
        <w:rPr>
          <w:rFonts w:asciiTheme="minorHAnsi" w:hAnsiTheme="minorHAnsi" w:cstheme="minorHAnsi"/>
          <w:i/>
          <w:sz w:val="16"/>
        </w:rPr>
        <w:t>Preventing Tobacco Use Among Youth and Young Adults: A Report of the Surgeon General</w:t>
      </w:r>
      <w:r w:rsidRPr="00EE331A">
        <w:rPr>
          <w:rFonts w:asciiTheme="minorHAnsi" w:hAnsiTheme="minorHAnsi" w:cstheme="minorHAnsi"/>
          <w:sz w:val="16"/>
        </w:rPr>
        <w:t>. Department of Health and Human Services;</w:t>
      </w:r>
      <w:r w:rsidRPr="00A47FC2">
        <w:rPr>
          <w:rFonts w:asciiTheme="minorHAnsi" w:hAnsiTheme="minorHAnsi" w:cstheme="minorHAnsi"/>
          <w:sz w:val="16"/>
        </w:rPr>
        <w:t xml:space="preserve"> 2012. </w:t>
      </w:r>
    </w:p>
  </w:footnote>
  <w:footnote w:id="80">
    <w:p w14:paraId="4DED5F71" w14:textId="77777777" w:rsidR="007647B4" w:rsidRPr="00EE331A" w:rsidRDefault="007647B4" w:rsidP="000B7EE5">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proofErr w:type="spellStart"/>
      <w:r w:rsidRPr="00D32EBA">
        <w:rPr>
          <w:rFonts w:asciiTheme="minorHAnsi" w:hAnsiTheme="minorHAnsi" w:cstheme="minorHAnsi"/>
          <w:sz w:val="16"/>
          <w:szCs w:val="16"/>
        </w:rPr>
        <w:t>Loflin</w:t>
      </w:r>
      <w:proofErr w:type="spellEnd"/>
      <w:r w:rsidRPr="00D32EBA">
        <w:rPr>
          <w:rFonts w:asciiTheme="minorHAnsi" w:hAnsiTheme="minorHAnsi" w:cstheme="minorHAnsi"/>
          <w:sz w:val="16"/>
          <w:szCs w:val="16"/>
        </w:rPr>
        <w:t xml:space="preserve"> M, </w:t>
      </w:r>
      <w:proofErr w:type="spellStart"/>
      <w:r w:rsidRPr="00D32EBA">
        <w:rPr>
          <w:rFonts w:asciiTheme="minorHAnsi" w:hAnsiTheme="minorHAnsi" w:cstheme="minorHAnsi"/>
          <w:sz w:val="16"/>
          <w:szCs w:val="16"/>
        </w:rPr>
        <w:t>Earleywine</w:t>
      </w:r>
      <w:proofErr w:type="spellEnd"/>
      <w:r w:rsidRPr="00D32EBA">
        <w:rPr>
          <w:rFonts w:asciiTheme="minorHAnsi" w:hAnsiTheme="minorHAnsi" w:cstheme="minorHAnsi"/>
          <w:sz w:val="16"/>
          <w:szCs w:val="16"/>
        </w:rPr>
        <w:t xml:space="preserve">, M. A new method of cannabis ingestion: the dangers of dabs? </w:t>
      </w:r>
      <w:r w:rsidRPr="00EE331A">
        <w:rPr>
          <w:rFonts w:asciiTheme="minorHAnsi" w:hAnsiTheme="minorHAnsi" w:cstheme="minorHAnsi"/>
          <w:i/>
          <w:sz w:val="16"/>
          <w:szCs w:val="16"/>
        </w:rPr>
        <w:t xml:space="preserve">Addict </w:t>
      </w:r>
      <w:proofErr w:type="spellStart"/>
      <w:r w:rsidRPr="00EE331A">
        <w:rPr>
          <w:rFonts w:asciiTheme="minorHAnsi" w:hAnsiTheme="minorHAnsi" w:cstheme="minorHAnsi"/>
          <w:i/>
          <w:sz w:val="16"/>
          <w:szCs w:val="16"/>
        </w:rPr>
        <w:t>Behav</w:t>
      </w:r>
      <w:proofErr w:type="spellEnd"/>
      <w:r w:rsidRPr="00EE331A">
        <w:rPr>
          <w:rFonts w:asciiTheme="minorHAnsi" w:hAnsiTheme="minorHAnsi" w:cstheme="minorHAnsi"/>
          <w:i/>
          <w:sz w:val="16"/>
          <w:szCs w:val="16"/>
        </w:rPr>
        <w:t>.</w:t>
      </w:r>
      <w:r w:rsidRPr="00EE331A">
        <w:rPr>
          <w:rFonts w:asciiTheme="minorHAnsi" w:hAnsiTheme="minorHAnsi" w:cstheme="minorHAnsi"/>
          <w:sz w:val="16"/>
          <w:szCs w:val="16"/>
        </w:rPr>
        <w:t xml:space="preserve"> 2014;39(10);1430-1433. </w:t>
      </w:r>
    </w:p>
  </w:footnote>
  <w:footnote w:id="81">
    <w:p w14:paraId="26735662" w14:textId="77777777" w:rsidR="007647B4" w:rsidRPr="00A47FC2" w:rsidRDefault="007647B4" w:rsidP="000B7EE5">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Pierre, JM, </w:t>
      </w:r>
      <w:proofErr w:type="spellStart"/>
      <w:r w:rsidRPr="00D32EBA">
        <w:rPr>
          <w:rFonts w:asciiTheme="minorHAnsi" w:hAnsiTheme="minorHAnsi" w:cstheme="minorHAnsi"/>
          <w:sz w:val="16"/>
          <w:szCs w:val="16"/>
        </w:rPr>
        <w:t>Gandal</w:t>
      </w:r>
      <w:proofErr w:type="spellEnd"/>
      <w:r w:rsidRPr="00D32EBA">
        <w:rPr>
          <w:rFonts w:asciiTheme="minorHAnsi" w:hAnsiTheme="minorHAnsi" w:cstheme="minorHAnsi"/>
          <w:sz w:val="16"/>
          <w:szCs w:val="16"/>
        </w:rPr>
        <w:t xml:space="preserve"> M, Son M. Cannabis-induced psychosis associated with high-potency “wax dabs”. </w:t>
      </w:r>
      <w:proofErr w:type="spellStart"/>
      <w:r w:rsidRPr="00EE331A">
        <w:rPr>
          <w:rFonts w:asciiTheme="minorHAnsi" w:hAnsiTheme="minorHAnsi" w:cstheme="minorHAnsi"/>
          <w:i/>
          <w:sz w:val="16"/>
          <w:szCs w:val="16"/>
        </w:rPr>
        <w:t>Schizophr</w:t>
      </w:r>
      <w:proofErr w:type="spellEnd"/>
      <w:r w:rsidRPr="00EE331A">
        <w:rPr>
          <w:rFonts w:asciiTheme="minorHAnsi" w:hAnsiTheme="minorHAnsi" w:cstheme="minorHAnsi"/>
          <w:i/>
          <w:sz w:val="16"/>
          <w:szCs w:val="16"/>
        </w:rPr>
        <w:t xml:space="preserve"> Res.</w:t>
      </w:r>
      <w:r w:rsidRPr="00EE331A">
        <w:rPr>
          <w:rFonts w:asciiTheme="minorHAnsi" w:hAnsiTheme="minorHAnsi" w:cstheme="minorHAnsi"/>
          <w:sz w:val="16"/>
          <w:szCs w:val="16"/>
        </w:rPr>
        <w:t xml:space="preserve"> 2016; 172(1-</w:t>
      </w:r>
      <w:r w:rsidRPr="00A47FC2">
        <w:rPr>
          <w:rFonts w:asciiTheme="minorHAnsi" w:hAnsiTheme="minorHAnsi" w:cstheme="minorHAnsi"/>
          <w:sz w:val="16"/>
          <w:szCs w:val="16"/>
        </w:rPr>
        <w:t xml:space="preserve">3);211-212. </w:t>
      </w:r>
    </w:p>
  </w:footnote>
  <w:footnote w:id="82">
    <w:p w14:paraId="31C5A965" w14:textId="77777777" w:rsidR="007647B4" w:rsidRPr="007647B4" w:rsidRDefault="007647B4" w:rsidP="000B7EE5">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California Department of Public Health. DPH-17-0101 Cannabis Manufacturing Licensing: Initial Statement of Reasons. 2018.</w:t>
      </w:r>
    </w:p>
  </w:footnote>
  <w:footnote w:id="83">
    <w:p w14:paraId="45E76C5D" w14:textId="5676B5B7" w:rsidR="007647B4" w:rsidRPr="00EE331A"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proofErr w:type="spellStart"/>
      <w:r w:rsidRPr="007647B4">
        <w:rPr>
          <w:rFonts w:asciiTheme="minorHAnsi" w:hAnsiTheme="minorHAnsi" w:cstheme="minorHAnsi"/>
          <w:sz w:val="16"/>
          <w:szCs w:val="16"/>
        </w:rPr>
        <w:t>Canistro</w:t>
      </w:r>
      <w:proofErr w:type="spellEnd"/>
      <w:r w:rsidRPr="007647B4">
        <w:rPr>
          <w:rFonts w:asciiTheme="minorHAnsi" w:hAnsiTheme="minorHAnsi" w:cstheme="minorHAnsi"/>
          <w:sz w:val="16"/>
          <w:szCs w:val="16"/>
        </w:rPr>
        <w:t xml:space="preserve"> D, </w:t>
      </w:r>
      <w:proofErr w:type="spellStart"/>
      <w:r w:rsidRPr="007647B4">
        <w:rPr>
          <w:rFonts w:asciiTheme="minorHAnsi" w:hAnsiTheme="minorHAnsi" w:cstheme="minorHAnsi"/>
          <w:sz w:val="16"/>
          <w:szCs w:val="16"/>
        </w:rPr>
        <w:t>Vivarelli</w:t>
      </w:r>
      <w:proofErr w:type="spellEnd"/>
      <w:r w:rsidRPr="007647B4">
        <w:rPr>
          <w:rFonts w:asciiTheme="minorHAnsi" w:hAnsiTheme="minorHAnsi" w:cstheme="minorHAnsi"/>
          <w:sz w:val="16"/>
          <w:szCs w:val="16"/>
        </w:rPr>
        <w:t xml:space="preserve"> F, Cirillo S, et al. </w:t>
      </w:r>
      <w:r w:rsidRPr="00D32EBA">
        <w:rPr>
          <w:rFonts w:asciiTheme="minorHAnsi" w:hAnsiTheme="minorHAnsi" w:cstheme="minorHAnsi"/>
          <w:sz w:val="16"/>
          <w:szCs w:val="16"/>
        </w:rPr>
        <w:t xml:space="preserve">E-cigarettes induce toxicological effects that can raise the cancer risk. </w:t>
      </w:r>
      <w:r w:rsidRPr="00EE331A">
        <w:rPr>
          <w:rFonts w:asciiTheme="minorHAnsi" w:hAnsiTheme="minorHAnsi" w:cstheme="minorHAnsi"/>
          <w:i/>
          <w:sz w:val="16"/>
          <w:szCs w:val="16"/>
        </w:rPr>
        <w:t>Sci Rep.</w:t>
      </w:r>
      <w:r w:rsidRPr="00EE331A">
        <w:rPr>
          <w:rFonts w:asciiTheme="minorHAnsi" w:hAnsiTheme="minorHAnsi" w:cstheme="minorHAnsi"/>
          <w:sz w:val="16"/>
          <w:szCs w:val="16"/>
        </w:rPr>
        <w:t xml:space="preserve"> 2017;7(1):2028.</w:t>
      </w:r>
    </w:p>
  </w:footnote>
  <w:footnote w:id="84">
    <w:p w14:paraId="254D55A2" w14:textId="5DD1131E" w:rsidR="007647B4" w:rsidRPr="00EE331A"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Chun LF, Moazed F, Calfee CS, Matthay MA, Gotts JE. Pulmonary toxicity of e-cigarettes. </w:t>
      </w:r>
      <w:r w:rsidRPr="00EE331A">
        <w:rPr>
          <w:rFonts w:asciiTheme="minorHAnsi" w:hAnsiTheme="minorHAnsi" w:cstheme="minorHAnsi"/>
          <w:i/>
          <w:sz w:val="16"/>
          <w:szCs w:val="16"/>
        </w:rPr>
        <w:t xml:space="preserve">Am J Physiol Lung Cell Mol Physiol. </w:t>
      </w:r>
      <w:r w:rsidRPr="00EE331A">
        <w:rPr>
          <w:rFonts w:asciiTheme="minorHAnsi" w:hAnsiTheme="minorHAnsi" w:cstheme="minorHAnsi"/>
          <w:sz w:val="16"/>
          <w:szCs w:val="16"/>
        </w:rPr>
        <w:t>2017;313(2</w:t>
      </w:r>
      <w:proofErr w:type="gramStart"/>
      <w:r w:rsidRPr="00EE331A">
        <w:rPr>
          <w:rFonts w:asciiTheme="minorHAnsi" w:hAnsiTheme="minorHAnsi" w:cstheme="minorHAnsi"/>
          <w:sz w:val="16"/>
          <w:szCs w:val="16"/>
        </w:rPr>
        <w:t>):L</w:t>
      </w:r>
      <w:proofErr w:type="gramEnd"/>
      <w:r w:rsidRPr="00EE331A">
        <w:rPr>
          <w:rFonts w:asciiTheme="minorHAnsi" w:hAnsiTheme="minorHAnsi" w:cstheme="minorHAnsi"/>
          <w:sz w:val="16"/>
          <w:szCs w:val="16"/>
        </w:rPr>
        <w:t>193-L206.</w:t>
      </w:r>
    </w:p>
  </w:footnote>
  <w:footnote w:id="85">
    <w:p w14:paraId="2B4C1C9E" w14:textId="1F949099" w:rsidR="007647B4" w:rsidRPr="00A47FC2"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Bhatnagar A. E-Cigarettes and Cardiovascular Disease Risk: Evaluation of Evidenc</w:t>
      </w:r>
      <w:r w:rsidRPr="00EE331A">
        <w:rPr>
          <w:rFonts w:asciiTheme="minorHAnsi" w:hAnsiTheme="minorHAnsi" w:cstheme="minorHAnsi"/>
          <w:sz w:val="16"/>
          <w:szCs w:val="16"/>
        </w:rPr>
        <w:t xml:space="preserve">e, Policy Implications, and Recommendations. </w:t>
      </w:r>
      <w:r w:rsidRPr="00EE331A">
        <w:rPr>
          <w:rFonts w:asciiTheme="minorHAnsi" w:hAnsiTheme="minorHAnsi" w:cstheme="minorHAnsi"/>
          <w:i/>
          <w:sz w:val="16"/>
          <w:szCs w:val="16"/>
        </w:rPr>
        <w:t>Current Cardiovascular Risk Reports</w:t>
      </w:r>
      <w:r w:rsidRPr="00A47FC2">
        <w:rPr>
          <w:rFonts w:asciiTheme="minorHAnsi" w:hAnsiTheme="minorHAnsi" w:cstheme="minorHAnsi"/>
          <w:sz w:val="16"/>
          <w:szCs w:val="16"/>
        </w:rPr>
        <w:t xml:space="preserve">. 2016, 10(24);1-10. </w:t>
      </w:r>
    </w:p>
  </w:footnote>
  <w:footnote w:id="86">
    <w:p w14:paraId="7C5B6F09" w14:textId="237F961A" w:rsidR="007647B4" w:rsidRPr="00D32EBA"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Family Smoking Prevention and Tobacco Control Act, 123 Stat. 1776, §201(d</w:t>
      </w:r>
      <w:proofErr w:type="gramStart"/>
      <w:r w:rsidRPr="00D32EBA">
        <w:rPr>
          <w:rFonts w:asciiTheme="minorHAnsi" w:hAnsiTheme="minorHAnsi" w:cstheme="minorHAnsi"/>
          <w:sz w:val="16"/>
          <w:szCs w:val="16"/>
        </w:rPr>
        <w:t>)(</w:t>
      </w:r>
      <w:proofErr w:type="gramEnd"/>
      <w:r w:rsidRPr="00D32EBA">
        <w:rPr>
          <w:rFonts w:asciiTheme="minorHAnsi" w:hAnsiTheme="minorHAnsi" w:cstheme="minorHAnsi"/>
          <w:sz w:val="16"/>
          <w:szCs w:val="16"/>
        </w:rPr>
        <w:t>2009).</w:t>
      </w:r>
    </w:p>
  </w:footnote>
  <w:footnote w:id="87">
    <w:p w14:paraId="0A35DE13" w14:textId="421678A0" w:rsidR="007647B4" w:rsidRPr="00D32EBA" w:rsidRDefault="007647B4">
      <w:pPr>
        <w:pStyle w:val="FootnoteText"/>
        <w:rPr>
          <w:rFonts w:asciiTheme="minorHAnsi" w:hAnsiTheme="minorHAnsi" w:cstheme="minorHAnsi"/>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California Department of Public </w:t>
      </w:r>
      <w:proofErr w:type="gramStart"/>
      <w:r w:rsidRPr="007647B4">
        <w:rPr>
          <w:rFonts w:asciiTheme="minorHAnsi" w:hAnsiTheme="minorHAnsi" w:cstheme="minorHAnsi"/>
          <w:sz w:val="16"/>
          <w:szCs w:val="16"/>
        </w:rPr>
        <w:t>Health .</w:t>
      </w:r>
      <w:proofErr w:type="gramEnd"/>
      <w:r w:rsidRPr="007647B4">
        <w:rPr>
          <w:rFonts w:asciiTheme="minorHAnsi" w:hAnsiTheme="minorHAnsi" w:cstheme="minorHAnsi"/>
          <w:sz w:val="16"/>
          <w:szCs w:val="16"/>
        </w:rPr>
        <w:t xml:space="preserve"> DPH-17-0101 Cannabis Manufacturing Licensing: Initial Statement of Reasons.2018.</w:t>
      </w:r>
    </w:p>
  </w:footnote>
  <w:footnote w:id="88">
    <w:p w14:paraId="27F55303" w14:textId="319CA813" w:rsidR="007647B4" w:rsidRPr="007647B4" w:rsidRDefault="007647B4">
      <w:pPr>
        <w:pStyle w:val="FootnoteText"/>
        <w:rPr>
          <w:rFonts w:asciiTheme="minorHAnsi" w:hAnsiTheme="minorHAnsi" w:cstheme="minorHAnsi"/>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Martin T. Coffee vs. cold brew v. espresso: Which has the most caffeine? </w:t>
      </w:r>
      <w:r w:rsidRPr="007647B4">
        <w:rPr>
          <w:rFonts w:asciiTheme="minorHAnsi" w:hAnsiTheme="minorHAnsi" w:cstheme="minorHAnsi"/>
          <w:i/>
          <w:sz w:val="16"/>
          <w:szCs w:val="16"/>
        </w:rPr>
        <w:t>CNET Magazine:</w:t>
      </w:r>
      <w:r w:rsidRPr="007647B4">
        <w:rPr>
          <w:rFonts w:asciiTheme="minorHAnsi" w:hAnsiTheme="minorHAnsi" w:cstheme="minorHAnsi"/>
          <w:sz w:val="16"/>
          <w:szCs w:val="16"/>
        </w:rPr>
        <w:t xml:space="preserve"> CBS Interactive; 2016.</w:t>
      </w:r>
    </w:p>
  </w:footnote>
  <w:footnote w:id="89">
    <w:p w14:paraId="172943FF" w14:textId="72A0440A" w:rsidR="007647B4" w:rsidRPr="007647B4" w:rsidRDefault="007647B4" w:rsidP="005068E0">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proofErr w:type="spellStart"/>
      <w:r w:rsidRPr="007647B4">
        <w:rPr>
          <w:rFonts w:asciiTheme="minorHAnsi" w:hAnsiTheme="minorHAnsi" w:cstheme="minorHAnsi"/>
          <w:color w:val="000000" w:themeColor="text1"/>
          <w:sz w:val="16"/>
          <w:szCs w:val="16"/>
        </w:rPr>
        <w:t>Padon</w:t>
      </w:r>
      <w:proofErr w:type="spellEnd"/>
      <w:r w:rsidRPr="007647B4">
        <w:rPr>
          <w:rFonts w:asciiTheme="minorHAnsi" w:hAnsiTheme="minorHAnsi" w:cstheme="minorHAnsi"/>
          <w:color w:val="000000" w:themeColor="text1"/>
          <w:sz w:val="16"/>
          <w:szCs w:val="16"/>
        </w:rPr>
        <w:t xml:space="preserve"> AA, </w:t>
      </w:r>
      <w:proofErr w:type="spellStart"/>
      <w:r w:rsidRPr="007647B4">
        <w:rPr>
          <w:rFonts w:asciiTheme="minorHAnsi" w:hAnsiTheme="minorHAnsi" w:cstheme="minorHAnsi"/>
          <w:color w:val="000000" w:themeColor="text1"/>
          <w:sz w:val="16"/>
          <w:szCs w:val="16"/>
        </w:rPr>
        <w:t>Rimal</w:t>
      </w:r>
      <w:proofErr w:type="spellEnd"/>
      <w:r w:rsidRPr="007647B4">
        <w:rPr>
          <w:rFonts w:asciiTheme="minorHAnsi" w:hAnsiTheme="minorHAnsi" w:cstheme="minorHAnsi"/>
          <w:color w:val="000000" w:themeColor="text1"/>
          <w:sz w:val="16"/>
          <w:szCs w:val="16"/>
        </w:rPr>
        <w:t xml:space="preserve"> RN, DeJong W, Siegel M, Jernigan D. Assessing Youth Appealing Content in Alcohol Advertisements: Application of a Content Appealing to Youth (CAY) Index. Health Commun. 2016;0(0):1-10. doi:10.1080/10410236.2016.1250331. </w:t>
      </w:r>
    </w:p>
  </w:footnote>
  <w:footnote w:id="90">
    <w:p w14:paraId="41EED13D" w14:textId="30F35C14" w:rsidR="007647B4" w:rsidRPr="007647B4" w:rsidRDefault="007647B4" w:rsidP="005068E0">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color w:val="000000" w:themeColor="text1"/>
          <w:sz w:val="16"/>
          <w:szCs w:val="16"/>
        </w:rPr>
        <w:t xml:space="preserve"> </w:t>
      </w:r>
      <w:proofErr w:type="spellStart"/>
      <w:r w:rsidRPr="007647B4">
        <w:rPr>
          <w:rFonts w:asciiTheme="minorHAnsi" w:hAnsiTheme="minorHAnsi" w:cstheme="minorHAnsi"/>
          <w:color w:val="000000" w:themeColor="text1"/>
          <w:sz w:val="16"/>
          <w:szCs w:val="16"/>
        </w:rPr>
        <w:t>Niederdeppe</w:t>
      </w:r>
      <w:proofErr w:type="spellEnd"/>
      <w:r w:rsidRPr="007647B4">
        <w:rPr>
          <w:rFonts w:asciiTheme="minorHAnsi" w:hAnsiTheme="minorHAnsi" w:cstheme="minorHAnsi"/>
          <w:color w:val="000000" w:themeColor="text1"/>
          <w:sz w:val="16"/>
          <w:szCs w:val="16"/>
        </w:rPr>
        <w:t xml:space="preserve"> J, Davis KC, Farrelly MC, Yarsevich J. Stylistic Features, Need for Sensation, and Confirmed Recall of National Smoking Prevention Advertisements. J Commun. 2007;57(2):272-292. doi:10.1111/j.1460- 2466.2007.00343.x. </w:t>
      </w:r>
    </w:p>
  </w:footnote>
  <w:footnote w:id="91">
    <w:p w14:paraId="38CC3DEA" w14:textId="3F159832" w:rsidR="007647B4" w:rsidRPr="007647B4" w:rsidRDefault="007647B4" w:rsidP="005068E0">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color w:val="000000" w:themeColor="text1"/>
          <w:sz w:val="16"/>
          <w:szCs w:val="16"/>
        </w:rPr>
        <w:t xml:space="preserve"> Lewis MK, Hill AJ. Food advertising on British children’s television: a content analysis and experimental study with nine-year olds. Int J Obes Relat Metab Disord J Int Assoc Study Obes. 1998;22(3):206-214. </w:t>
      </w:r>
    </w:p>
  </w:footnote>
  <w:footnote w:id="92">
    <w:p w14:paraId="3C046722" w14:textId="1E7AA969" w:rsidR="007647B4" w:rsidRPr="007647B4" w:rsidRDefault="007647B4" w:rsidP="00B20245">
      <w:pPr>
        <w:rPr>
          <w:rFonts w:asciiTheme="minorHAnsi" w:hAnsiTheme="minorHAnsi" w:cstheme="minorHAnsi"/>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color w:val="000000" w:themeColor="text1"/>
          <w:sz w:val="16"/>
          <w:szCs w:val="16"/>
        </w:rPr>
        <w:t>Waiters ED, Treno AJ, Grube JW. Alcohol Advertising and Youth: A Focus-Group Analysis of What Young People Find Appealing in Alcohol Advertising. Contem</w:t>
      </w:r>
      <w:r w:rsidRPr="007647B4">
        <w:rPr>
          <w:rFonts w:asciiTheme="minorHAnsi" w:hAnsiTheme="minorHAnsi" w:cstheme="minorHAnsi"/>
          <w:sz w:val="16"/>
          <w:szCs w:val="16"/>
        </w:rPr>
        <w:t xml:space="preserve">p Drug Probl. 2001;28(4):695. </w:t>
      </w:r>
    </w:p>
  </w:footnote>
  <w:footnote w:id="93">
    <w:p w14:paraId="591BA2AF" w14:textId="304BC168" w:rsidR="007647B4" w:rsidRPr="007647B4" w:rsidRDefault="007647B4" w:rsidP="00B20245">
      <w:pPr>
        <w:rPr>
          <w:rFonts w:asciiTheme="minorHAnsi" w:hAnsiTheme="minorHAnsi" w:cstheme="minorHAnsi"/>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Chen M-J, Grube JW, Bersamin M, Waiters E, Keefe DB. Alcohol advertising: what makes it attractive to youth? J Health Commun. 2005;10(6):553-565. doi:10.1080/10810730500228904.</w:t>
      </w:r>
    </w:p>
  </w:footnote>
  <w:footnote w:id="94">
    <w:p w14:paraId="00910E5E" w14:textId="0C541814" w:rsidR="007647B4" w:rsidRPr="007647B4" w:rsidRDefault="007647B4" w:rsidP="00B20245">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Morgan SE, Palmgreen P, Stephenson MT, Hoyle RH, Lorch EP. Associations Between Message Features and Subjective Evaluations of the Sensation Value of Antidrug Public Service Announcements. J Commun. 2003;53(3):512-526. doi:10.1111/j.1460-</w:t>
      </w:r>
      <w:proofErr w:type="gramStart"/>
      <w:r w:rsidRPr="007647B4">
        <w:rPr>
          <w:rFonts w:asciiTheme="minorHAnsi" w:hAnsiTheme="minorHAnsi" w:cstheme="minorHAnsi"/>
          <w:color w:val="000000" w:themeColor="text1"/>
          <w:sz w:val="16"/>
          <w:szCs w:val="16"/>
        </w:rPr>
        <w:t>2466.2003.tb</w:t>
      </w:r>
      <w:proofErr w:type="gramEnd"/>
      <w:r w:rsidRPr="007647B4">
        <w:rPr>
          <w:rFonts w:asciiTheme="minorHAnsi" w:hAnsiTheme="minorHAnsi" w:cstheme="minorHAnsi"/>
          <w:color w:val="000000" w:themeColor="text1"/>
          <w:sz w:val="16"/>
          <w:szCs w:val="16"/>
        </w:rPr>
        <w:t xml:space="preserve">02605.x. </w:t>
      </w:r>
    </w:p>
  </w:footnote>
  <w:footnote w:id="95">
    <w:p w14:paraId="3EA4B739" w14:textId="10A96EDB" w:rsidR="007647B4" w:rsidRPr="007647B4" w:rsidRDefault="007647B4" w:rsidP="00DC1245">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Pechmann C, Levine L, Loughlin S, Leslie F. Impulsive and Self-Conscious: Adolescents’ Vulnerability to Advertising and Promotion. J Public Policy Mark. 2005;24(2):202-221. doi:10.1509/jppm.2005.24.2.202. </w:t>
      </w:r>
    </w:p>
  </w:footnote>
  <w:footnote w:id="96">
    <w:p w14:paraId="11B0F983" w14:textId="232A74E7" w:rsidR="007647B4" w:rsidRPr="007647B4" w:rsidRDefault="007647B4" w:rsidP="00B20245">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color w:val="000000" w:themeColor="text1"/>
          <w:sz w:val="16"/>
          <w:szCs w:val="16"/>
        </w:rPr>
        <w:t xml:space="preserve"> </w:t>
      </w:r>
      <w:proofErr w:type="spellStart"/>
      <w:r w:rsidRPr="007647B4">
        <w:rPr>
          <w:rFonts w:asciiTheme="minorHAnsi" w:hAnsiTheme="minorHAnsi" w:cstheme="minorHAnsi"/>
          <w:color w:val="000000" w:themeColor="text1"/>
          <w:sz w:val="16"/>
          <w:szCs w:val="16"/>
        </w:rPr>
        <w:t>Padon</w:t>
      </w:r>
      <w:proofErr w:type="spellEnd"/>
      <w:r w:rsidRPr="007647B4">
        <w:rPr>
          <w:rFonts w:asciiTheme="minorHAnsi" w:hAnsiTheme="minorHAnsi" w:cstheme="minorHAnsi"/>
          <w:color w:val="000000" w:themeColor="text1"/>
          <w:sz w:val="16"/>
          <w:szCs w:val="16"/>
        </w:rPr>
        <w:t xml:space="preserve"> AA, </w:t>
      </w:r>
      <w:proofErr w:type="spellStart"/>
      <w:r w:rsidRPr="007647B4">
        <w:rPr>
          <w:rFonts w:asciiTheme="minorHAnsi" w:hAnsiTheme="minorHAnsi" w:cstheme="minorHAnsi"/>
          <w:color w:val="000000" w:themeColor="text1"/>
          <w:sz w:val="16"/>
          <w:szCs w:val="16"/>
        </w:rPr>
        <w:t>Rimal</w:t>
      </w:r>
      <w:proofErr w:type="spellEnd"/>
      <w:r w:rsidRPr="007647B4">
        <w:rPr>
          <w:rFonts w:asciiTheme="minorHAnsi" w:hAnsiTheme="minorHAnsi" w:cstheme="minorHAnsi"/>
          <w:color w:val="000000" w:themeColor="text1"/>
          <w:sz w:val="16"/>
          <w:szCs w:val="16"/>
        </w:rPr>
        <w:t xml:space="preserve"> RN, DeJong W, Siegel M, Jernigan D. Assessing Youth Appealing Content in Alcohol Advertisements: Application of a Content Appealing to Youth (CAY) Index. Health Commun. 2016;0(0):1-10. doi:10.1080/10410236.2016.1250331. </w:t>
      </w:r>
    </w:p>
  </w:footnote>
  <w:footnote w:id="97">
    <w:p w14:paraId="7DB28BA4" w14:textId="49499A3F" w:rsidR="007647B4" w:rsidRPr="007647B4" w:rsidRDefault="007647B4" w:rsidP="00B20245">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Surgeon General, Preventing Tobacco Use Among Youth and Young Adults: A Report of the Surgeon General. 2012, Department of Health and Human Services. </w:t>
      </w:r>
    </w:p>
  </w:footnote>
  <w:footnote w:id="98">
    <w:p w14:paraId="51E5A704" w14:textId="79E3C640" w:rsidR="007647B4" w:rsidRPr="007647B4" w:rsidRDefault="007647B4" w:rsidP="00B20245">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World Health Organization, WHO Framework Convention on Tobacco Control: Guidelines for implementation. 2013, WHO Press: Geneva, Switzerland. </w:t>
      </w:r>
    </w:p>
  </w:footnote>
  <w:footnote w:id="99">
    <w:p w14:paraId="7EA6952B" w14:textId="33502C24" w:rsidR="007647B4" w:rsidRPr="007647B4" w:rsidRDefault="007647B4" w:rsidP="00DC1245">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World Health Organization, WHO Framework Convention on Tobacco Control. 2003, WHO Press: Geneva, Switzerland. </w:t>
      </w:r>
    </w:p>
  </w:footnote>
  <w:footnote w:id="100">
    <w:p w14:paraId="2CFF9BCE" w14:textId="3D81CA7B" w:rsidR="007647B4" w:rsidRPr="007647B4" w:rsidRDefault="007647B4" w:rsidP="00B20245">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Surgeon General, Preventing Tobacco Use Among Youth and Young Adults: A Report of the Surgeon General. 2012, Department of Health and Human Services.</w:t>
      </w:r>
    </w:p>
  </w:footnote>
  <w:footnote w:id="101">
    <w:p w14:paraId="673160E5" w14:textId="51CFF903" w:rsidR="007647B4" w:rsidRPr="007647B4" w:rsidRDefault="007647B4" w:rsidP="00E57C16">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World Health Organization, WHO Framework Convention on Tobacco Control: Guidelines for implementation. 2013, WHO Press: Geneva, Switzerland. </w:t>
      </w:r>
    </w:p>
  </w:footnote>
  <w:footnote w:id="102">
    <w:p w14:paraId="35CCD6C7" w14:textId="1A4E10C6" w:rsidR="007647B4" w:rsidRPr="00EE331A"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EE331A">
        <w:rPr>
          <w:rFonts w:asciiTheme="minorHAnsi" w:hAnsiTheme="minorHAnsi" w:cstheme="minorHAnsi"/>
          <w:color w:val="000000" w:themeColor="text1"/>
          <w:sz w:val="16"/>
          <w:szCs w:val="16"/>
        </w:rPr>
        <w:t>Hammond, D., Tobacco packaging and labeling policies under the U.S. Tobacco Control Act: research needs and priorities. Nicotine Tob Res, 2012. 14(1): p. 62- 74.</w:t>
      </w:r>
    </w:p>
  </w:footnote>
  <w:footnote w:id="103">
    <w:p w14:paraId="72CB6BBC" w14:textId="2635840C" w:rsidR="007647B4" w:rsidRPr="007647B4" w:rsidRDefault="007647B4" w:rsidP="00E57C16">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World Health Organization, WHO report on the global tobacco epidemic, 2017: monitoring tobacco use and prevention policies. 2017, World Health Organization: Geneva, Switzerland. </w:t>
      </w:r>
    </w:p>
  </w:footnote>
  <w:footnote w:id="104">
    <w:p w14:paraId="1F837550" w14:textId="14C2D91C" w:rsidR="007647B4" w:rsidRPr="00A47FC2"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EE331A">
        <w:rPr>
          <w:rFonts w:asciiTheme="minorHAnsi" w:hAnsiTheme="minorHAnsi" w:cstheme="minorHAnsi"/>
          <w:color w:val="000000" w:themeColor="text1"/>
          <w:sz w:val="16"/>
          <w:szCs w:val="16"/>
        </w:rPr>
        <w:t>Hiilamo, H., E. Crosbie, and S.A. Glantz, The evolution of health warning labels on cigarette packs: the role of precedents, and tobacco industry strategies to block diffusion. Tob Control, 2014. 23(1): p. e2.</w:t>
      </w:r>
    </w:p>
  </w:footnote>
  <w:footnote w:id="105">
    <w:p w14:paraId="2C351B47" w14:textId="77777777" w:rsidR="007647B4" w:rsidRPr="007647B4" w:rsidRDefault="007647B4" w:rsidP="009D59BB">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Oregon Administrative Rules 333-007-0220, Table 2: Medical Cannabis Concentration and Serving Size Limits. (2017): Oregon Health Authority Public Health Division.</w:t>
      </w:r>
    </w:p>
  </w:footnote>
  <w:footnote w:id="106">
    <w:p w14:paraId="0C6430FD" w14:textId="5A5261FA" w:rsidR="007647B4" w:rsidRPr="00EE331A" w:rsidRDefault="007647B4" w:rsidP="009D59BB">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color w:val="000000" w:themeColor="text1"/>
          <w:sz w:val="16"/>
          <w:szCs w:val="16"/>
        </w:rPr>
        <w:t xml:space="preserve"> Nevada Administrative Code § 453A.512, Labeling requirements for edible marijuana products or marijuana-infused products sold at retail; accompanying materials. (2017).</w:t>
      </w:r>
    </w:p>
  </w:footnote>
  <w:footnote w:id="107">
    <w:p w14:paraId="42D5BC55" w14:textId="77777777" w:rsidR="007647B4" w:rsidRPr="00A47FC2" w:rsidRDefault="007647B4" w:rsidP="009D59BB">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EE331A">
        <w:rPr>
          <w:rFonts w:asciiTheme="minorHAnsi" w:hAnsiTheme="minorHAnsi" w:cstheme="minorHAnsi"/>
          <w:color w:val="000000" w:themeColor="text1"/>
          <w:sz w:val="16"/>
          <w:szCs w:val="16"/>
        </w:rPr>
        <w:t>Grossman, C., et al., Cannabis Packaging and Labeling: Regulatory Recommendations for States and Nations. 2017, Council for Responsible Cannabis Regulation.</w:t>
      </w:r>
    </w:p>
  </w:footnote>
  <w:footnote w:id="108">
    <w:p w14:paraId="1CA6EBCA" w14:textId="4224E01D" w:rsidR="007647B4" w:rsidRPr="00EE331A" w:rsidRDefault="007647B4" w:rsidP="009D59BB">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EE331A">
        <w:rPr>
          <w:rFonts w:asciiTheme="minorHAnsi" w:hAnsiTheme="minorHAnsi" w:cstheme="minorHAnsi"/>
          <w:color w:val="000000" w:themeColor="text1"/>
          <w:sz w:val="16"/>
          <w:szCs w:val="16"/>
        </w:rPr>
        <w:t>21 C.F.R. 1143.3, Required warning statement regarding addictiveness of nicotine. U.S. Food and Drug Administration.</w:t>
      </w:r>
    </w:p>
  </w:footnote>
  <w:footnote w:id="109">
    <w:p w14:paraId="4AB05A55" w14:textId="77777777" w:rsidR="007647B4" w:rsidRDefault="007647B4" w:rsidP="009D59BB">
      <w:pPr>
        <w:pStyle w:val="FootnoteText"/>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EE331A">
        <w:rPr>
          <w:rFonts w:asciiTheme="minorHAnsi" w:hAnsiTheme="minorHAnsi" w:cstheme="minorHAnsi"/>
          <w:color w:val="000000" w:themeColor="text1"/>
          <w:sz w:val="16"/>
          <w:szCs w:val="16"/>
        </w:rPr>
        <w:t>World Health Organization, WHO Framework Convention on Tobacco Control. 2003, WHO Press: Geneva, Switzerland</w:t>
      </w:r>
      <w:r w:rsidRPr="00804E4F">
        <w:rPr>
          <w:rFonts w:cs="Arial"/>
          <w:color w:val="000000" w:themeColor="text1"/>
          <w:sz w:val="16"/>
          <w:szCs w:val="16"/>
        </w:rPr>
        <w:t>.</w:t>
      </w:r>
    </w:p>
  </w:footnote>
  <w:footnote w:id="110">
    <w:p w14:paraId="1485BB40" w14:textId="103878E4" w:rsidR="007647B4" w:rsidRPr="007647B4" w:rsidRDefault="007647B4">
      <w:pPr>
        <w:pStyle w:val="FootnoteText"/>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D32EBA">
        <w:rPr>
          <w:rFonts w:asciiTheme="minorHAnsi" w:hAnsiTheme="minorHAnsi" w:cstheme="minorHAnsi"/>
          <w:color w:val="000000" w:themeColor="text1"/>
          <w:sz w:val="16"/>
          <w:szCs w:val="16"/>
        </w:rPr>
        <w:t>Popova</w:t>
      </w:r>
      <w:r w:rsidRPr="00EE331A">
        <w:rPr>
          <w:rFonts w:asciiTheme="minorHAnsi" w:hAnsiTheme="minorHAnsi" w:cstheme="minorHAnsi"/>
          <w:color w:val="000000" w:themeColor="text1"/>
          <w:sz w:val="16"/>
          <w:szCs w:val="16"/>
        </w:rPr>
        <w:t xml:space="preserve">, </w:t>
      </w:r>
      <w:proofErr w:type="gramStart"/>
      <w:r w:rsidRPr="00EE331A">
        <w:rPr>
          <w:rFonts w:asciiTheme="minorHAnsi" w:hAnsiTheme="minorHAnsi" w:cstheme="minorHAnsi"/>
          <w:color w:val="000000" w:themeColor="text1"/>
          <w:sz w:val="16"/>
          <w:szCs w:val="16"/>
        </w:rPr>
        <w:t>L. ,</w:t>
      </w:r>
      <w:proofErr w:type="gramEnd"/>
      <w:r w:rsidRPr="00EE331A">
        <w:rPr>
          <w:rFonts w:asciiTheme="minorHAnsi" w:hAnsiTheme="minorHAnsi" w:cstheme="minorHAnsi"/>
          <w:color w:val="000000" w:themeColor="text1"/>
          <w:sz w:val="16"/>
          <w:szCs w:val="16"/>
        </w:rPr>
        <w:t xml:space="preserve"> Sugar-Sweetened Beverage Labels: Lessons Learned from the Tobacco Industry, J. Calif. Dent. Assoc., 2016 Oct; 44 (10): 633-640</w:t>
      </w:r>
    </w:p>
  </w:footnote>
  <w:footnote w:id="111">
    <w:p w14:paraId="36501963" w14:textId="6F2E6F20" w:rsidR="007647B4" w:rsidRPr="00804E4F" w:rsidRDefault="007647B4">
      <w:pPr>
        <w:pStyle w:val="FootnoteText"/>
        <w:rPr>
          <w:rFonts w:cs="Arial"/>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proofErr w:type="spellStart"/>
      <w:r w:rsidRPr="00EE331A">
        <w:rPr>
          <w:rFonts w:asciiTheme="minorHAnsi" w:hAnsiTheme="minorHAnsi" w:cstheme="minorHAnsi"/>
          <w:color w:val="000000" w:themeColor="text1"/>
          <w:sz w:val="16"/>
          <w:szCs w:val="16"/>
        </w:rPr>
        <w:t>Noar</w:t>
      </w:r>
      <w:proofErr w:type="spellEnd"/>
      <w:r w:rsidRPr="00EE331A">
        <w:rPr>
          <w:rFonts w:asciiTheme="minorHAnsi" w:hAnsiTheme="minorHAnsi" w:cstheme="minorHAnsi"/>
          <w:color w:val="000000" w:themeColor="text1"/>
          <w:sz w:val="16"/>
          <w:szCs w:val="16"/>
        </w:rPr>
        <w:t>, S. et al., The Impact of Strengthening Cigarette Pack Warnings: Systematic Review of Longitudinal Observational Studies, Soc. Sci. Med., 2016 Sep; 164:118-129.</w:t>
      </w:r>
    </w:p>
  </w:footnote>
  <w:footnote w:id="112">
    <w:p w14:paraId="5EF5775D" w14:textId="67F9617D" w:rsidR="007647B4" w:rsidRPr="007647B4" w:rsidRDefault="007647B4">
      <w:pPr>
        <w:pStyle w:val="FootnoteText"/>
        <w:rPr>
          <w:rFonts w:asciiTheme="minorHAnsi" w:hAnsiTheme="minorHAnsi" w:cstheme="minorHAnsi"/>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Thrasher, J. F., </w:t>
      </w:r>
      <w:proofErr w:type="spellStart"/>
      <w:r w:rsidRPr="007647B4">
        <w:rPr>
          <w:rFonts w:asciiTheme="minorHAnsi" w:hAnsiTheme="minorHAnsi" w:cstheme="minorHAnsi"/>
          <w:sz w:val="16"/>
          <w:szCs w:val="16"/>
        </w:rPr>
        <w:t>Swayampakala</w:t>
      </w:r>
      <w:proofErr w:type="spellEnd"/>
      <w:r w:rsidRPr="007647B4">
        <w:rPr>
          <w:rFonts w:asciiTheme="minorHAnsi" w:hAnsiTheme="minorHAnsi" w:cstheme="minorHAnsi"/>
          <w:sz w:val="16"/>
          <w:szCs w:val="16"/>
        </w:rPr>
        <w:t xml:space="preserve">, K., Cummings, K. M., Hammond, D., </w:t>
      </w:r>
      <w:proofErr w:type="spellStart"/>
      <w:r w:rsidRPr="007647B4">
        <w:rPr>
          <w:rFonts w:asciiTheme="minorHAnsi" w:hAnsiTheme="minorHAnsi" w:cstheme="minorHAnsi"/>
          <w:sz w:val="16"/>
          <w:szCs w:val="16"/>
        </w:rPr>
        <w:t>Anshari</w:t>
      </w:r>
      <w:proofErr w:type="spellEnd"/>
      <w:r w:rsidRPr="007647B4">
        <w:rPr>
          <w:rFonts w:asciiTheme="minorHAnsi" w:hAnsiTheme="minorHAnsi" w:cstheme="minorHAnsi"/>
          <w:sz w:val="16"/>
          <w:szCs w:val="16"/>
        </w:rPr>
        <w:t>, D., Krugman, D. M., &amp; Hardin, J. W. (2016). Cigarette package inserts can promote efficacy beliefs and sustained smoking cessation attempts: A longitudinal assessment of an innovative policy in Canada. Preventive Medicine, 88, 59–65. https://doi.org/10.1016/j.ypmed.2016.03.006</w:t>
      </w:r>
    </w:p>
  </w:footnote>
  <w:footnote w:id="113">
    <w:p w14:paraId="4B12DC34" w14:textId="5A4D94B3" w:rsidR="007647B4" w:rsidRPr="007647B4" w:rsidRDefault="007647B4">
      <w:pPr>
        <w:pStyle w:val="FootnoteText"/>
        <w:rPr>
          <w:rFonts w:asciiTheme="minorHAnsi" w:hAnsiTheme="minorHAnsi" w:cstheme="minorHAnsi"/>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proofErr w:type="spellStart"/>
      <w:r w:rsidRPr="007647B4">
        <w:rPr>
          <w:rFonts w:asciiTheme="minorHAnsi" w:hAnsiTheme="minorHAnsi" w:cstheme="minorHAnsi"/>
          <w:sz w:val="16"/>
          <w:szCs w:val="16"/>
        </w:rPr>
        <w:t>Noar</w:t>
      </w:r>
      <w:proofErr w:type="spellEnd"/>
      <w:r w:rsidRPr="007647B4">
        <w:rPr>
          <w:rFonts w:asciiTheme="minorHAnsi" w:hAnsiTheme="minorHAnsi" w:cstheme="minorHAnsi"/>
          <w:sz w:val="16"/>
          <w:szCs w:val="16"/>
        </w:rPr>
        <w:t xml:space="preserve">, S. M., Francis, D. B., Bridges, C., Sontag, J. M., </w:t>
      </w:r>
      <w:proofErr w:type="spellStart"/>
      <w:r w:rsidRPr="007647B4">
        <w:rPr>
          <w:rFonts w:asciiTheme="minorHAnsi" w:hAnsiTheme="minorHAnsi" w:cstheme="minorHAnsi"/>
          <w:sz w:val="16"/>
          <w:szCs w:val="16"/>
        </w:rPr>
        <w:t>Ribisl</w:t>
      </w:r>
      <w:proofErr w:type="spellEnd"/>
      <w:r w:rsidRPr="007647B4">
        <w:rPr>
          <w:rFonts w:asciiTheme="minorHAnsi" w:hAnsiTheme="minorHAnsi" w:cstheme="minorHAnsi"/>
          <w:sz w:val="16"/>
          <w:szCs w:val="16"/>
        </w:rPr>
        <w:t>, K. M., &amp; Brewer, N. T. (2016). The impact of strengthening cigarette pack warnings: Systematic review of longitudinal observational studies. Social Science &amp; Medicine (1982), 164, 118–129. https://doi.org/10.1016/j.socscimed.2016.06.011</w:t>
      </w:r>
    </w:p>
  </w:footnote>
  <w:footnote w:id="114">
    <w:p w14:paraId="7C909319" w14:textId="359BE9C7" w:rsidR="007647B4" w:rsidRPr="007647B4" w:rsidRDefault="007647B4">
      <w:pPr>
        <w:pStyle w:val="FootnoteText"/>
        <w:rPr>
          <w:rFonts w:asciiTheme="minorHAnsi" w:hAnsiTheme="minorHAnsi" w:cstheme="minorHAnsi"/>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Argo, J. J., &amp; Main, K. J. (2002). Warning! Proceed </w:t>
      </w:r>
      <w:proofErr w:type="gramStart"/>
      <w:r w:rsidRPr="007647B4">
        <w:rPr>
          <w:rFonts w:asciiTheme="minorHAnsi" w:hAnsiTheme="minorHAnsi" w:cstheme="minorHAnsi"/>
          <w:sz w:val="16"/>
          <w:szCs w:val="16"/>
        </w:rPr>
        <w:t>With</w:t>
      </w:r>
      <w:proofErr w:type="gramEnd"/>
      <w:r w:rsidRPr="007647B4">
        <w:rPr>
          <w:rFonts w:asciiTheme="minorHAnsi" w:hAnsiTheme="minorHAnsi" w:cstheme="minorHAnsi"/>
          <w:sz w:val="16"/>
          <w:szCs w:val="16"/>
        </w:rPr>
        <w:t xml:space="preserve"> Caution: a Meta-Analysis of the Effectiveness of Warning Labels. ACR North American Advances, NA-29. Retrieved from http://acrwebsite.org/volumes/8625/volumes/v29/NA-29</w:t>
      </w:r>
    </w:p>
  </w:footnote>
  <w:footnote w:id="115">
    <w:p w14:paraId="2B2D019C" w14:textId="4C0B32DA" w:rsidR="007647B4" w:rsidRPr="007647B4" w:rsidRDefault="007647B4">
      <w:pPr>
        <w:pStyle w:val="FootnoteText"/>
        <w:rPr>
          <w:rFonts w:asciiTheme="minorHAnsi" w:hAnsiTheme="minorHAnsi" w:cstheme="minorHAnsi"/>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proofErr w:type="spellStart"/>
      <w:r w:rsidRPr="007647B4">
        <w:rPr>
          <w:rFonts w:asciiTheme="minorHAnsi" w:hAnsiTheme="minorHAnsi" w:cstheme="minorHAnsi"/>
          <w:sz w:val="16"/>
          <w:szCs w:val="16"/>
        </w:rPr>
        <w:t>Wigg</w:t>
      </w:r>
      <w:proofErr w:type="spellEnd"/>
      <w:r w:rsidRPr="007647B4">
        <w:rPr>
          <w:rFonts w:asciiTheme="minorHAnsi" w:hAnsiTheme="minorHAnsi" w:cstheme="minorHAnsi"/>
          <w:sz w:val="16"/>
          <w:szCs w:val="16"/>
        </w:rPr>
        <w:t xml:space="preserve">, S., &amp; Stafford, L. D. (2016). Health Warnings on Alcoholic Beverages: Perceptions of the Health Risks and Intentions towards Alcohol Consumption. </w:t>
      </w:r>
      <w:proofErr w:type="spellStart"/>
      <w:r w:rsidRPr="007647B4">
        <w:rPr>
          <w:rFonts w:asciiTheme="minorHAnsi" w:hAnsiTheme="minorHAnsi" w:cstheme="minorHAnsi"/>
          <w:sz w:val="16"/>
          <w:szCs w:val="16"/>
        </w:rPr>
        <w:t>PLoS</w:t>
      </w:r>
      <w:proofErr w:type="spellEnd"/>
      <w:r w:rsidRPr="007647B4">
        <w:rPr>
          <w:rFonts w:asciiTheme="minorHAnsi" w:hAnsiTheme="minorHAnsi" w:cstheme="minorHAnsi"/>
          <w:sz w:val="16"/>
          <w:szCs w:val="16"/>
        </w:rPr>
        <w:t xml:space="preserve"> ONE, 11(4). https://doi.org/10.1371/journal.pone.0153027</w:t>
      </w:r>
    </w:p>
  </w:footnote>
  <w:footnote w:id="116">
    <w:p w14:paraId="6C736956" w14:textId="7E68918E" w:rsidR="007647B4" w:rsidRPr="00EE331A"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EE331A">
        <w:rPr>
          <w:rFonts w:asciiTheme="minorHAnsi" w:hAnsiTheme="minorHAnsi" w:cstheme="minorHAnsi"/>
          <w:color w:val="000000" w:themeColor="text1"/>
          <w:sz w:val="16"/>
          <w:szCs w:val="16"/>
        </w:rPr>
        <w:t>Wang, X., et al., One Minute of Marijuana Secondhand Smoke Exposure Substantially Impairs Vascular Endothelial Function. J Am Heart Assoc, 2016. 5(8).</w:t>
      </w:r>
    </w:p>
  </w:footnote>
  <w:footnote w:id="117">
    <w:p w14:paraId="73EDDB9B" w14:textId="07FC6F00" w:rsidR="007647B4" w:rsidRPr="007647B4" w:rsidRDefault="007647B4" w:rsidP="00E57C16">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Canistro, D., et al., E-cigarettes induce toxicological effects that can raise the cancer risk. Sci Rep, 2017. 7(1): p. 2028. </w:t>
      </w:r>
    </w:p>
  </w:footnote>
  <w:footnote w:id="118">
    <w:p w14:paraId="78230DCB" w14:textId="4AA6982F" w:rsidR="007647B4" w:rsidRPr="00EE331A"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EE331A">
        <w:rPr>
          <w:rFonts w:asciiTheme="minorHAnsi" w:hAnsiTheme="minorHAnsi" w:cstheme="minorHAnsi"/>
          <w:color w:val="000000" w:themeColor="text1"/>
          <w:sz w:val="16"/>
          <w:szCs w:val="16"/>
        </w:rPr>
        <w:t>Chun, L.F., et al., Pulmonary toxicity of e-cigarettes. Am J Physiol Lung Cell Mol Physiol, 2017. 313(2): p. L193-L206.</w:t>
      </w:r>
    </w:p>
  </w:footnote>
  <w:footnote w:id="119">
    <w:p w14:paraId="217E20A3" w14:textId="37828EC9" w:rsidR="007647B4" w:rsidRPr="00A47FC2"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EE331A">
        <w:rPr>
          <w:rFonts w:asciiTheme="minorHAnsi" w:hAnsiTheme="minorHAnsi" w:cstheme="minorHAnsi"/>
          <w:color w:val="000000" w:themeColor="text1"/>
          <w:sz w:val="16"/>
          <w:szCs w:val="16"/>
        </w:rPr>
        <w:t>Loflin, M. and M. Earleywine, A new method of cannabis ingestion: the dangers of dabs? Addict Behav, 2014. 39(10): p. 1430-3.</w:t>
      </w:r>
    </w:p>
  </w:footnote>
  <w:footnote w:id="120">
    <w:p w14:paraId="44D85816" w14:textId="5F627237" w:rsidR="007647B4" w:rsidRPr="007647B4" w:rsidRDefault="007647B4" w:rsidP="00295DBC">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Hall, W. and M. Weier, Assessing the public health impacts of legalizing recreational cannabis use in the USA. Clin Pharmacol Ther, 2015. 97(6): p. 607- 15. </w:t>
      </w:r>
    </w:p>
  </w:footnote>
  <w:footnote w:id="121">
    <w:p w14:paraId="646064A4" w14:textId="5E9533A7" w:rsidR="007647B4" w:rsidRPr="00EE331A"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EE331A">
        <w:rPr>
          <w:rFonts w:asciiTheme="minorHAnsi" w:hAnsiTheme="minorHAnsi" w:cstheme="minorHAnsi"/>
          <w:color w:val="000000" w:themeColor="text1"/>
          <w:sz w:val="16"/>
          <w:szCs w:val="16"/>
        </w:rPr>
        <w:t>Wang, X., et al., One Minute of Marijuana Secondhand Smoke Exposure Substantially Impairs Vascular Endothelial Function. J Am Heart Assoc, 2016. 5(8).</w:t>
      </w:r>
    </w:p>
  </w:footnote>
  <w:footnote w:id="122">
    <w:p w14:paraId="30FD24C3" w14:textId="7F0550E3" w:rsidR="007647B4" w:rsidRPr="007647B4" w:rsidRDefault="007647B4" w:rsidP="00295DBC">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Hall, W. and M. Weier, Assessing the public health impacts of legalizing recreational cannabis use in the USA. Clin Pharmacol Ther, 2015. 97(6): p. 607- 15. </w:t>
      </w:r>
    </w:p>
  </w:footnote>
  <w:footnote w:id="123">
    <w:p w14:paraId="5292A9C0" w14:textId="13EFBAF6" w:rsidR="007647B4" w:rsidRPr="00A47FC2"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EE331A">
        <w:rPr>
          <w:rFonts w:asciiTheme="minorHAnsi" w:hAnsiTheme="minorHAnsi" w:cstheme="minorHAnsi"/>
          <w:color w:val="000000" w:themeColor="text1"/>
          <w:sz w:val="16"/>
          <w:szCs w:val="16"/>
        </w:rPr>
        <w:t>Thomas, B.F. and G.T. Pollard, Preparation and Distribution of Cannabis and Cannabis-Derived Dosage Formulations for Investigational and Therapeutic Use in the United States. Front Pharmacol, 2016. 7: p. 285</w:t>
      </w:r>
    </w:p>
  </w:footnote>
  <w:footnote w:id="124">
    <w:p w14:paraId="2C544646" w14:textId="2F2CAF10" w:rsidR="007647B4" w:rsidRPr="007647B4" w:rsidRDefault="007647B4" w:rsidP="00295DBC">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P</w:t>
      </w:r>
      <w:r w:rsidRPr="007647B4">
        <w:rPr>
          <w:rFonts w:asciiTheme="minorHAnsi" w:hAnsiTheme="minorHAnsi" w:cstheme="minorHAnsi"/>
          <w:color w:val="000000" w:themeColor="text1"/>
          <w:sz w:val="16"/>
          <w:szCs w:val="16"/>
        </w:rPr>
        <w:t xml:space="preserve">acher, P., et al., Cardiovascular effects of marijuana and synthetic cannabinoids: the good, the bad, and the ugly. Nat Rev Cardiol, 2017. </w:t>
      </w:r>
    </w:p>
  </w:footnote>
  <w:footnote w:id="125">
    <w:p w14:paraId="340694CD" w14:textId="30CCB8EA" w:rsidR="007647B4" w:rsidRPr="00A47FC2"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Owen</w:t>
      </w:r>
      <w:r w:rsidRPr="00EE331A">
        <w:rPr>
          <w:rFonts w:asciiTheme="minorHAnsi" w:hAnsiTheme="minorHAnsi" w:cstheme="minorHAnsi"/>
          <w:color w:val="000000" w:themeColor="text1"/>
          <w:sz w:val="16"/>
          <w:szCs w:val="16"/>
        </w:rPr>
        <w:t xml:space="preserve"> K.P., M.E. Sutter, and T.E. Albertson, Marijuana: respiratory tract effects. Clin Rev Allergy Immunol, 2014. 46(1): p. 65-81.</w:t>
      </w:r>
    </w:p>
  </w:footnote>
  <w:footnote w:id="126">
    <w:p w14:paraId="1F134577" w14:textId="20DE6692" w:rsidR="007647B4" w:rsidRPr="007647B4" w:rsidRDefault="007647B4" w:rsidP="00295DBC">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color w:val="000000" w:themeColor="text1"/>
          <w:sz w:val="16"/>
          <w:szCs w:val="16"/>
        </w:rPr>
        <w:t>Meier, M.H., et al., Persistent cannabis users show neuropsychological decline from childhood to midlife. Proc Natl Acad Sci U S A, 2012. 109(40): p. E2657-64.</w:t>
      </w:r>
    </w:p>
  </w:footnote>
  <w:footnote w:id="127">
    <w:p w14:paraId="1FAE6E13" w14:textId="6BCE490A" w:rsidR="007647B4" w:rsidRPr="007647B4" w:rsidRDefault="007647B4" w:rsidP="00295DBC">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California Environmental Protection Agency, Chemicals Known to the State to Cause Cancer or Reproductive Toxicity, Office of Environmental Health Hazard Assessment, Editor. 2017: https://oehha.ca.gov/media/downloads/proposition65/p65single01272017.pdf. </w:t>
      </w:r>
    </w:p>
  </w:footnote>
  <w:footnote w:id="128">
    <w:p w14:paraId="599E5355" w14:textId="23B77088" w:rsidR="007647B4" w:rsidRPr="007647B4"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EE331A">
        <w:rPr>
          <w:rFonts w:asciiTheme="minorHAnsi" w:hAnsiTheme="minorHAnsi" w:cstheme="minorHAnsi"/>
          <w:color w:val="000000" w:themeColor="text1"/>
          <w:sz w:val="16"/>
          <w:szCs w:val="16"/>
        </w:rPr>
        <w:t>Tomar, R.S., J. Beaumont, and J.C.Y. Hsieh, Evidence on the Carcinogenicity of Marijuana Smoke, California Environmental Protection Agency Office of Environmental Health Hazard Assessment Reproductive and Cancer Hazard Assessment Branch, Editor. 2009.</w:t>
      </w:r>
    </w:p>
  </w:footnote>
  <w:footnote w:id="129">
    <w:p w14:paraId="443F0C50" w14:textId="69822843" w:rsidR="007647B4" w:rsidRPr="00EE331A"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color w:val="000000" w:themeColor="text1"/>
          <w:sz w:val="16"/>
          <w:szCs w:val="16"/>
        </w:rPr>
        <w:t xml:space="preserve"> Hammond, D., Health warning messages on tobacco </w:t>
      </w:r>
      <w:r w:rsidRPr="00EE331A">
        <w:rPr>
          <w:rFonts w:asciiTheme="minorHAnsi" w:hAnsiTheme="minorHAnsi" w:cstheme="minorHAnsi"/>
          <w:color w:val="000000" w:themeColor="text1"/>
          <w:sz w:val="16"/>
          <w:szCs w:val="16"/>
        </w:rPr>
        <w:t>products: a review. Tob Control, 2011. 20(5): p. 327-37.</w:t>
      </w:r>
    </w:p>
  </w:footnote>
  <w:footnote w:id="130">
    <w:p w14:paraId="6149D6D5" w14:textId="77777777" w:rsidR="007647B4" w:rsidRPr="007647B4" w:rsidRDefault="007647B4" w:rsidP="00295DBC">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World Health Organization, WHO Framework Convention on Tobacco Control. 2003, WHO Press: Geneva, Switzerland. </w:t>
      </w:r>
    </w:p>
  </w:footnote>
  <w:footnote w:id="131">
    <w:p w14:paraId="62651E0B" w14:textId="32612568" w:rsidR="007647B4" w:rsidRPr="007647B4" w:rsidRDefault="007647B4" w:rsidP="00295DBC">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proofErr w:type="spellStart"/>
      <w:r w:rsidRPr="007647B4">
        <w:rPr>
          <w:rFonts w:asciiTheme="minorHAnsi" w:hAnsiTheme="minorHAnsi" w:cstheme="minorHAnsi"/>
          <w:color w:val="000000" w:themeColor="text1"/>
          <w:sz w:val="16"/>
          <w:szCs w:val="16"/>
        </w:rPr>
        <w:t>Hitchman</w:t>
      </w:r>
      <w:proofErr w:type="spellEnd"/>
      <w:r w:rsidRPr="007647B4">
        <w:rPr>
          <w:rFonts w:asciiTheme="minorHAnsi" w:hAnsiTheme="minorHAnsi" w:cstheme="minorHAnsi"/>
          <w:color w:val="000000" w:themeColor="text1"/>
          <w:sz w:val="16"/>
          <w:szCs w:val="16"/>
        </w:rPr>
        <w:t xml:space="preserve">, S.C., et al., Changes in effectiveness of cigarette health warnings over time in Canada and the United States, 2002-2011. Nicotine Tob Res, 2014. 16(5): p. 536-43. </w:t>
      </w:r>
    </w:p>
  </w:footnote>
  <w:footnote w:id="132">
    <w:p w14:paraId="4AC6721D" w14:textId="091AD5CD" w:rsidR="007647B4" w:rsidRPr="007647B4" w:rsidRDefault="007647B4" w:rsidP="00295DBC">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color w:val="000000" w:themeColor="text1"/>
          <w:sz w:val="16"/>
          <w:szCs w:val="16"/>
        </w:rPr>
        <w:t xml:space="preserve">Hammond, D., et al., Text and graphic warnings on cigarette packages: findings from the international tobacco control four country study. Am J Prev Med, 2007. 32(3): p. 202-9. </w:t>
      </w:r>
    </w:p>
  </w:footnote>
  <w:footnote w:id="133">
    <w:p w14:paraId="0CC97628" w14:textId="1B8C51D5" w:rsidR="007647B4" w:rsidRPr="00EE331A"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Hammond D., Tobacco packaging and labeling policies under U.S. Tobacco Control Act: research needs and priorities. Nicotine Tob.</w:t>
      </w:r>
      <w:r w:rsidRPr="00EE331A">
        <w:rPr>
          <w:rFonts w:asciiTheme="minorHAnsi" w:hAnsiTheme="minorHAnsi" w:cstheme="minorHAnsi"/>
          <w:sz w:val="16"/>
          <w:szCs w:val="16"/>
        </w:rPr>
        <w:t xml:space="preserve"> Res, 2012. 14(1): p.62-74.</w:t>
      </w:r>
    </w:p>
  </w:footnote>
  <w:footnote w:id="134">
    <w:p w14:paraId="55326FB5" w14:textId="17CB61DB" w:rsidR="007647B4" w:rsidRPr="007647B4" w:rsidRDefault="007647B4" w:rsidP="002B10E7">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McCool, J., et al., Graphic warning labels on plain cigarette packs: will they make a difference to adolescents? Soc Sci Med, 2012. 74(8): p. 1269-73. </w:t>
      </w:r>
    </w:p>
  </w:footnote>
  <w:footnote w:id="135">
    <w:p w14:paraId="63804D70" w14:textId="1D8108B2" w:rsidR="007647B4" w:rsidRPr="00EE331A" w:rsidRDefault="007647B4">
      <w:pPr>
        <w:pStyle w:val="FootnoteText"/>
        <w:rPr>
          <w:rFonts w:asciiTheme="minorHAnsi" w:hAnsiTheme="minorHAnsi" w:cstheme="minorHAnsi"/>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w:t>
      </w:r>
      <w:r w:rsidRPr="00D32EBA">
        <w:rPr>
          <w:rFonts w:asciiTheme="minorHAnsi" w:hAnsiTheme="minorHAnsi" w:cstheme="minorHAnsi"/>
          <w:color w:val="000000" w:themeColor="text1"/>
          <w:sz w:val="16"/>
          <w:szCs w:val="16"/>
        </w:rPr>
        <w:t>World Health Organization, WHO Framework Convention on Tobacco Control. 2003, WHO Press: Geneva, Switzerland.</w:t>
      </w:r>
    </w:p>
  </w:footnote>
  <w:footnote w:id="136">
    <w:p w14:paraId="29B0DAB2" w14:textId="6B53C511" w:rsidR="007647B4" w:rsidRPr="007647B4" w:rsidRDefault="007647B4" w:rsidP="002B10E7">
      <w:pPr>
        <w:rPr>
          <w:rFonts w:asciiTheme="minorHAnsi" w:hAnsiTheme="minorHAnsi" w:cstheme="minorHAnsi"/>
          <w:color w:val="000000" w:themeColor="text1"/>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themeColor="text1"/>
          <w:sz w:val="16"/>
          <w:szCs w:val="16"/>
        </w:rPr>
        <w:t xml:space="preserve">Lempert, L.K. and S.A. Glantz, Implications of Tobacco Industry Research on Packaging Colors for Designing Health Warning Labels. Nicotine Tob Res, 2016. 18(9): p. 1910-4. </w:t>
      </w:r>
    </w:p>
  </w:footnote>
  <w:footnote w:id="137">
    <w:p w14:paraId="0D77B3DD" w14:textId="635ED4A3" w:rsidR="007647B4" w:rsidRPr="00D32EBA" w:rsidRDefault="007647B4">
      <w:pPr>
        <w:pStyle w:val="FootnoteText"/>
        <w:rPr>
          <w:rFonts w:asciiTheme="minorHAnsi" w:hAnsiTheme="minorHAnsi" w:cstheme="minorHAnsi"/>
          <w:sz w:val="16"/>
          <w:szCs w:val="16"/>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Lempert, Ibid.</w:t>
      </w:r>
    </w:p>
  </w:footnote>
  <w:footnote w:id="138">
    <w:p w14:paraId="0B281151" w14:textId="618EC588" w:rsidR="007647B4" w:rsidRPr="00D32EBA" w:rsidRDefault="007647B4">
      <w:pPr>
        <w:pStyle w:val="FootnoteText"/>
        <w:rPr>
          <w:rFonts w:asciiTheme="minorHAnsi" w:hAnsiTheme="minorHAnsi" w:cstheme="minorHAnsi"/>
        </w:rPr>
      </w:pPr>
      <w:r w:rsidRPr="00D32EBA">
        <w:rPr>
          <w:rStyle w:val="FootnoteReference"/>
          <w:rFonts w:asciiTheme="minorHAnsi" w:hAnsiTheme="minorHAnsi" w:cstheme="minorHAnsi"/>
          <w:sz w:val="16"/>
          <w:szCs w:val="16"/>
        </w:rPr>
        <w:footnoteRef/>
      </w:r>
      <w:r w:rsidRPr="00D32EBA">
        <w:rPr>
          <w:rFonts w:asciiTheme="minorHAnsi" w:hAnsiTheme="minorHAnsi" w:cstheme="minorHAnsi"/>
          <w:sz w:val="16"/>
          <w:szCs w:val="16"/>
        </w:rPr>
        <w:t xml:space="preserve"> U.S. Department of Transportation, Manual on Uniform Traffic Control Devices, F.H. Administration, Editor. 2002: Washington, D.C.</w:t>
      </w:r>
    </w:p>
  </w:footnote>
  <w:footnote w:id="139">
    <w:p w14:paraId="2DA67B01" w14:textId="26DFC93A" w:rsidR="007647B4" w:rsidRPr="007647B4" w:rsidRDefault="007647B4" w:rsidP="007647B4">
      <w:pPr>
        <w:shd w:val="clear" w:color="auto" w:fill="FFFFFF"/>
        <w:contextualSpacing/>
        <w:rPr>
          <w:rFonts w:asciiTheme="minorHAnsi" w:hAnsiTheme="minorHAnsi" w:cstheme="minorHAnsi"/>
          <w:color w:val="000000" w:themeColor="text1"/>
          <w:sz w:val="16"/>
          <w:szCs w:val="16"/>
        </w:rPr>
      </w:pPr>
      <w:r w:rsidRPr="007647B4">
        <w:rPr>
          <w:rStyle w:val="FootnoteReference"/>
          <w:sz w:val="16"/>
          <w:szCs w:val="16"/>
        </w:rPr>
        <w:footnoteRef/>
      </w:r>
      <w:r w:rsidRPr="007647B4">
        <w:rPr>
          <w:rFonts w:ascii="Arial" w:hAnsi="Arial" w:cs="Arial"/>
          <w:color w:val="000000"/>
          <w:sz w:val="16"/>
          <w:szCs w:val="16"/>
        </w:rPr>
        <w:t xml:space="preserve"> </w:t>
      </w:r>
      <w:hyperlink r:id="rId17" w:history="1">
        <w:r w:rsidRPr="007647B4">
          <w:rPr>
            <w:rStyle w:val="Hyperlink"/>
            <w:rFonts w:asciiTheme="minorHAnsi" w:hAnsiTheme="minorHAnsi" w:cstheme="minorHAnsi"/>
            <w:color w:val="000000" w:themeColor="text1"/>
            <w:sz w:val="16"/>
            <w:szCs w:val="16"/>
          </w:rPr>
          <w:t>Richards JR</w:t>
        </w:r>
      </w:hyperlink>
      <w:r w:rsidRPr="007647B4">
        <w:rPr>
          <w:rFonts w:asciiTheme="minorHAnsi" w:hAnsiTheme="minorHAnsi" w:cstheme="minorHAnsi"/>
          <w:color w:val="000000" w:themeColor="text1"/>
          <w:sz w:val="16"/>
          <w:szCs w:val="16"/>
        </w:rPr>
        <w:t>, </w:t>
      </w:r>
      <w:hyperlink r:id="rId18" w:history="1">
        <w:r w:rsidRPr="007647B4">
          <w:rPr>
            <w:rStyle w:val="Hyperlink"/>
            <w:rFonts w:asciiTheme="minorHAnsi" w:hAnsiTheme="minorHAnsi" w:cstheme="minorHAnsi"/>
            <w:color w:val="000000" w:themeColor="text1"/>
            <w:sz w:val="16"/>
            <w:szCs w:val="16"/>
          </w:rPr>
          <w:t>Smith NE</w:t>
        </w:r>
      </w:hyperlink>
      <w:r w:rsidRPr="007647B4">
        <w:rPr>
          <w:rFonts w:asciiTheme="minorHAnsi" w:hAnsiTheme="minorHAnsi" w:cstheme="minorHAnsi"/>
          <w:color w:val="000000" w:themeColor="text1"/>
          <w:sz w:val="16"/>
          <w:szCs w:val="16"/>
        </w:rPr>
        <w:t>, </w:t>
      </w:r>
      <w:hyperlink r:id="rId19" w:history="1">
        <w:r w:rsidRPr="007647B4">
          <w:rPr>
            <w:rStyle w:val="Hyperlink"/>
            <w:rFonts w:asciiTheme="minorHAnsi" w:hAnsiTheme="minorHAnsi" w:cstheme="minorHAnsi"/>
            <w:color w:val="000000" w:themeColor="text1"/>
            <w:sz w:val="16"/>
            <w:szCs w:val="16"/>
          </w:rPr>
          <w:t>Moulin AK</w:t>
        </w:r>
      </w:hyperlink>
      <w:r w:rsidRPr="00A47FC2">
        <w:rPr>
          <w:rFonts w:asciiTheme="minorHAnsi" w:hAnsiTheme="minorHAnsi" w:cstheme="minorHAnsi"/>
          <w:color w:val="000000" w:themeColor="text1"/>
          <w:sz w:val="16"/>
          <w:szCs w:val="16"/>
        </w:rPr>
        <w:t xml:space="preserve">. </w:t>
      </w:r>
      <w:r w:rsidRPr="007647B4">
        <w:rPr>
          <w:rFonts w:asciiTheme="minorHAnsi" w:hAnsiTheme="minorHAnsi" w:cstheme="minorHAnsi"/>
          <w:color w:val="000000" w:themeColor="text1"/>
          <w:sz w:val="16"/>
          <w:szCs w:val="16"/>
        </w:rPr>
        <w:t>Unintentional </w:t>
      </w:r>
      <w:r w:rsidRPr="007647B4">
        <w:rPr>
          <w:rStyle w:val="highlight"/>
          <w:rFonts w:asciiTheme="minorHAnsi" w:hAnsiTheme="minorHAnsi" w:cstheme="minorHAnsi"/>
          <w:color w:val="000000" w:themeColor="text1"/>
          <w:sz w:val="16"/>
          <w:szCs w:val="16"/>
        </w:rPr>
        <w:t>Cannabis</w:t>
      </w:r>
      <w:r w:rsidRPr="007647B4">
        <w:rPr>
          <w:rFonts w:asciiTheme="minorHAnsi" w:hAnsiTheme="minorHAnsi" w:cstheme="minorHAnsi"/>
          <w:color w:val="000000" w:themeColor="text1"/>
          <w:sz w:val="16"/>
          <w:szCs w:val="16"/>
        </w:rPr>
        <w:t> </w:t>
      </w:r>
      <w:r w:rsidRPr="007647B4">
        <w:rPr>
          <w:rStyle w:val="highlight"/>
          <w:rFonts w:asciiTheme="minorHAnsi" w:hAnsiTheme="minorHAnsi" w:cstheme="minorHAnsi"/>
          <w:color w:val="000000" w:themeColor="text1"/>
          <w:sz w:val="16"/>
          <w:szCs w:val="16"/>
        </w:rPr>
        <w:t>Ingestion</w:t>
      </w:r>
      <w:r w:rsidRPr="007647B4">
        <w:rPr>
          <w:rFonts w:asciiTheme="minorHAnsi" w:hAnsiTheme="minorHAnsi" w:cstheme="minorHAnsi"/>
          <w:color w:val="000000" w:themeColor="text1"/>
          <w:sz w:val="16"/>
          <w:szCs w:val="16"/>
        </w:rPr>
        <w:t xml:space="preserve"> in Children: A Systematic Review. </w:t>
      </w:r>
      <w:hyperlink r:id="rId20" w:tooltip="The Journal of pediatrics." w:history="1">
        <w:r w:rsidRPr="007647B4">
          <w:rPr>
            <w:rStyle w:val="Hyperlink"/>
            <w:rFonts w:asciiTheme="minorHAnsi" w:hAnsiTheme="minorHAnsi" w:cstheme="minorHAnsi"/>
            <w:color w:val="000000" w:themeColor="text1"/>
            <w:sz w:val="16"/>
            <w:szCs w:val="16"/>
          </w:rPr>
          <w:t xml:space="preserve">J </w:t>
        </w:r>
        <w:proofErr w:type="spellStart"/>
        <w:r w:rsidRPr="007647B4">
          <w:rPr>
            <w:rStyle w:val="Hyperlink"/>
            <w:rFonts w:asciiTheme="minorHAnsi" w:hAnsiTheme="minorHAnsi" w:cstheme="minorHAnsi"/>
            <w:color w:val="000000" w:themeColor="text1"/>
            <w:sz w:val="16"/>
            <w:szCs w:val="16"/>
          </w:rPr>
          <w:t>Pediatr</w:t>
        </w:r>
        <w:proofErr w:type="spellEnd"/>
        <w:r w:rsidRPr="007647B4">
          <w:rPr>
            <w:rStyle w:val="Hyperlink"/>
            <w:rFonts w:asciiTheme="minorHAnsi" w:hAnsiTheme="minorHAnsi" w:cstheme="minorHAnsi"/>
            <w:color w:val="000000" w:themeColor="text1"/>
            <w:sz w:val="16"/>
            <w:szCs w:val="16"/>
          </w:rPr>
          <w:t>.</w:t>
        </w:r>
      </w:hyperlink>
      <w:r w:rsidRPr="007647B4">
        <w:rPr>
          <w:rFonts w:asciiTheme="minorHAnsi" w:hAnsiTheme="minorHAnsi" w:cstheme="minorHAnsi"/>
          <w:color w:val="000000" w:themeColor="text1"/>
          <w:sz w:val="16"/>
          <w:szCs w:val="16"/>
        </w:rPr>
        <w:t xml:space="preserve"> 2017 Nov;190:142-152. </w:t>
      </w:r>
      <w:proofErr w:type="spellStart"/>
      <w:r w:rsidRPr="007647B4">
        <w:rPr>
          <w:rFonts w:asciiTheme="minorHAnsi" w:hAnsiTheme="minorHAnsi" w:cstheme="minorHAnsi"/>
          <w:color w:val="000000" w:themeColor="text1"/>
          <w:sz w:val="16"/>
          <w:szCs w:val="16"/>
        </w:rPr>
        <w:t>doi</w:t>
      </w:r>
      <w:proofErr w:type="spellEnd"/>
      <w:r w:rsidRPr="007647B4">
        <w:rPr>
          <w:rFonts w:asciiTheme="minorHAnsi" w:hAnsiTheme="minorHAnsi" w:cstheme="minorHAnsi"/>
          <w:color w:val="000000" w:themeColor="text1"/>
          <w:sz w:val="16"/>
          <w:szCs w:val="16"/>
        </w:rPr>
        <w:t xml:space="preserve">: 10.1016/j.jpeds.2017.07.005. </w:t>
      </w:r>
      <w:proofErr w:type="spellStart"/>
      <w:r w:rsidRPr="007647B4">
        <w:rPr>
          <w:rFonts w:asciiTheme="minorHAnsi" w:hAnsiTheme="minorHAnsi" w:cstheme="minorHAnsi"/>
          <w:color w:val="000000" w:themeColor="text1"/>
          <w:sz w:val="16"/>
          <w:szCs w:val="16"/>
        </w:rPr>
        <w:t>Epub</w:t>
      </w:r>
      <w:proofErr w:type="spellEnd"/>
      <w:r w:rsidRPr="007647B4">
        <w:rPr>
          <w:rFonts w:asciiTheme="minorHAnsi" w:hAnsiTheme="minorHAnsi" w:cstheme="minorHAnsi"/>
          <w:color w:val="000000" w:themeColor="text1"/>
          <w:sz w:val="16"/>
          <w:szCs w:val="16"/>
        </w:rPr>
        <w:t xml:space="preserve"> 2017 Sep 6.</w:t>
      </w:r>
    </w:p>
  </w:footnote>
  <w:footnote w:id="140">
    <w:p w14:paraId="54B5E278" w14:textId="196F5C32" w:rsidR="007647B4" w:rsidRPr="007647B4" w:rsidRDefault="007647B4" w:rsidP="007647B4">
      <w:pPr>
        <w:shd w:val="clear" w:color="auto" w:fill="FFFFFF"/>
        <w:contextualSpacing/>
        <w:rPr>
          <w:rFonts w:ascii="Arial" w:hAnsi="Arial" w:cs="Arial"/>
          <w:color w:val="000000" w:themeColor="text1"/>
          <w:sz w:val="16"/>
          <w:szCs w:val="16"/>
        </w:rPr>
      </w:pPr>
      <w:r w:rsidRPr="007647B4">
        <w:rPr>
          <w:rStyle w:val="FootnoteReference"/>
          <w:color w:val="000000" w:themeColor="text1"/>
          <w:sz w:val="16"/>
          <w:szCs w:val="16"/>
        </w:rPr>
        <w:footnoteRef/>
      </w:r>
      <w:r w:rsidRPr="007647B4">
        <w:rPr>
          <w:color w:val="000000" w:themeColor="text1"/>
          <w:sz w:val="16"/>
          <w:szCs w:val="16"/>
        </w:rPr>
        <w:t xml:space="preserve"> </w:t>
      </w:r>
      <w:r w:rsidRPr="007647B4">
        <w:rPr>
          <w:rFonts w:asciiTheme="minorHAnsi" w:hAnsiTheme="minorHAnsi" w:cstheme="minorHAnsi"/>
          <w:color w:val="000000" w:themeColor="text1"/>
          <w:sz w:val="16"/>
          <w:szCs w:val="16"/>
        </w:rPr>
        <w:fldChar w:fldCharType="begin"/>
      </w:r>
      <w:r w:rsidRPr="007647B4">
        <w:rPr>
          <w:rFonts w:asciiTheme="minorHAnsi" w:hAnsiTheme="minorHAnsi" w:cstheme="minorHAnsi"/>
          <w:color w:val="000000" w:themeColor="text1"/>
          <w:sz w:val="16"/>
          <w:szCs w:val="16"/>
        </w:rPr>
        <w:instrText xml:space="preserve"> HYPERLINK "https://www-ncbi-nlm-nih-gov.ucsf.idm.oclc.org/pubmed/?term=Wang%20GS%5BAuthor%5D&amp;cauthor=true&amp;cauthor_uid=27454910" </w:instrText>
      </w:r>
      <w:r w:rsidRPr="007647B4">
        <w:rPr>
          <w:rFonts w:asciiTheme="minorHAnsi" w:hAnsiTheme="minorHAnsi" w:cstheme="minorHAnsi"/>
          <w:color w:val="000000" w:themeColor="text1"/>
          <w:sz w:val="16"/>
          <w:szCs w:val="16"/>
        </w:rPr>
        <w:fldChar w:fldCharType="separate"/>
      </w:r>
      <w:r w:rsidRPr="007647B4">
        <w:rPr>
          <w:rStyle w:val="Hyperlink"/>
          <w:rFonts w:asciiTheme="minorHAnsi" w:hAnsiTheme="minorHAnsi" w:cstheme="minorHAnsi"/>
          <w:color w:val="000000" w:themeColor="text1"/>
          <w:sz w:val="16"/>
          <w:szCs w:val="16"/>
        </w:rPr>
        <w:t>Wang GS</w:t>
      </w:r>
      <w:r w:rsidRPr="007647B4">
        <w:rPr>
          <w:rFonts w:asciiTheme="minorHAnsi" w:hAnsiTheme="minorHAnsi" w:cstheme="minorHAnsi"/>
          <w:color w:val="000000" w:themeColor="text1"/>
          <w:sz w:val="16"/>
          <w:szCs w:val="16"/>
        </w:rPr>
        <w:fldChar w:fldCharType="end"/>
      </w:r>
      <w:r w:rsidRPr="007647B4">
        <w:rPr>
          <w:rFonts w:asciiTheme="minorHAnsi" w:hAnsiTheme="minorHAnsi" w:cstheme="minorHAnsi"/>
          <w:color w:val="000000" w:themeColor="text1"/>
          <w:sz w:val="16"/>
          <w:szCs w:val="16"/>
        </w:rPr>
        <w:t>, </w:t>
      </w:r>
      <w:hyperlink r:id="rId21" w:history="1">
        <w:r w:rsidRPr="007647B4">
          <w:rPr>
            <w:rStyle w:val="Hyperlink"/>
            <w:rFonts w:asciiTheme="minorHAnsi" w:hAnsiTheme="minorHAnsi" w:cstheme="minorHAnsi"/>
            <w:color w:val="000000" w:themeColor="text1"/>
            <w:sz w:val="16"/>
            <w:szCs w:val="16"/>
          </w:rPr>
          <w:t xml:space="preserve">Le </w:t>
        </w:r>
        <w:proofErr w:type="spellStart"/>
        <w:r w:rsidRPr="007647B4">
          <w:rPr>
            <w:rStyle w:val="Hyperlink"/>
            <w:rFonts w:asciiTheme="minorHAnsi" w:hAnsiTheme="minorHAnsi" w:cstheme="minorHAnsi"/>
            <w:color w:val="000000" w:themeColor="text1"/>
            <w:sz w:val="16"/>
            <w:szCs w:val="16"/>
          </w:rPr>
          <w:t>Lait</w:t>
        </w:r>
        <w:proofErr w:type="spellEnd"/>
        <w:r w:rsidRPr="007647B4">
          <w:rPr>
            <w:rStyle w:val="Hyperlink"/>
            <w:rFonts w:asciiTheme="minorHAnsi" w:hAnsiTheme="minorHAnsi" w:cstheme="minorHAnsi"/>
            <w:color w:val="000000" w:themeColor="text1"/>
            <w:sz w:val="16"/>
            <w:szCs w:val="16"/>
          </w:rPr>
          <w:t xml:space="preserve"> MC</w:t>
        </w:r>
      </w:hyperlink>
      <w:r w:rsidRPr="007647B4">
        <w:rPr>
          <w:rFonts w:asciiTheme="minorHAnsi" w:hAnsiTheme="minorHAnsi" w:cstheme="minorHAnsi"/>
          <w:color w:val="000000" w:themeColor="text1"/>
          <w:sz w:val="16"/>
          <w:szCs w:val="16"/>
        </w:rPr>
        <w:t>, </w:t>
      </w:r>
      <w:proofErr w:type="spellStart"/>
      <w:r w:rsidRPr="007647B4">
        <w:rPr>
          <w:rFonts w:asciiTheme="minorHAnsi" w:hAnsiTheme="minorHAnsi" w:cstheme="minorHAnsi"/>
          <w:color w:val="000000" w:themeColor="text1"/>
          <w:sz w:val="16"/>
          <w:szCs w:val="16"/>
        </w:rPr>
        <w:fldChar w:fldCharType="begin"/>
      </w:r>
      <w:r w:rsidRPr="007647B4">
        <w:rPr>
          <w:rFonts w:asciiTheme="minorHAnsi" w:hAnsiTheme="minorHAnsi" w:cstheme="minorHAnsi"/>
          <w:color w:val="000000" w:themeColor="text1"/>
          <w:sz w:val="16"/>
          <w:szCs w:val="16"/>
        </w:rPr>
        <w:instrText xml:space="preserve"> HYPERLINK "https://www-ncbi-nlm-nih-gov.ucsf.idm.oclc.org/pubmed/?term=Deakyne%20SJ%5BAuthor%5D&amp;cauthor=true&amp;cauthor_uid=27454910" </w:instrText>
      </w:r>
      <w:r w:rsidRPr="007647B4">
        <w:rPr>
          <w:rFonts w:asciiTheme="minorHAnsi" w:hAnsiTheme="minorHAnsi" w:cstheme="minorHAnsi"/>
          <w:color w:val="000000" w:themeColor="text1"/>
          <w:sz w:val="16"/>
          <w:szCs w:val="16"/>
        </w:rPr>
        <w:fldChar w:fldCharType="separate"/>
      </w:r>
      <w:r w:rsidRPr="007647B4">
        <w:rPr>
          <w:rStyle w:val="Hyperlink"/>
          <w:rFonts w:asciiTheme="minorHAnsi" w:hAnsiTheme="minorHAnsi" w:cstheme="minorHAnsi"/>
          <w:color w:val="000000" w:themeColor="text1"/>
          <w:sz w:val="16"/>
          <w:szCs w:val="16"/>
        </w:rPr>
        <w:t>Deakyne</w:t>
      </w:r>
      <w:proofErr w:type="spellEnd"/>
      <w:r w:rsidRPr="007647B4">
        <w:rPr>
          <w:rStyle w:val="Hyperlink"/>
          <w:rFonts w:asciiTheme="minorHAnsi" w:hAnsiTheme="minorHAnsi" w:cstheme="minorHAnsi"/>
          <w:color w:val="000000" w:themeColor="text1"/>
          <w:sz w:val="16"/>
          <w:szCs w:val="16"/>
        </w:rPr>
        <w:t xml:space="preserve"> SJ</w:t>
      </w:r>
      <w:r w:rsidRPr="007647B4">
        <w:rPr>
          <w:rFonts w:asciiTheme="minorHAnsi" w:hAnsiTheme="minorHAnsi" w:cstheme="minorHAnsi"/>
          <w:color w:val="000000" w:themeColor="text1"/>
          <w:sz w:val="16"/>
          <w:szCs w:val="16"/>
        </w:rPr>
        <w:fldChar w:fldCharType="end"/>
      </w:r>
      <w:r w:rsidRPr="007647B4">
        <w:rPr>
          <w:rFonts w:asciiTheme="minorHAnsi" w:hAnsiTheme="minorHAnsi" w:cstheme="minorHAnsi"/>
          <w:color w:val="000000" w:themeColor="text1"/>
          <w:sz w:val="16"/>
          <w:szCs w:val="16"/>
        </w:rPr>
        <w:t>, </w:t>
      </w:r>
      <w:hyperlink r:id="rId22" w:history="1">
        <w:r w:rsidRPr="007647B4">
          <w:rPr>
            <w:rStyle w:val="Hyperlink"/>
            <w:rFonts w:asciiTheme="minorHAnsi" w:hAnsiTheme="minorHAnsi" w:cstheme="minorHAnsi"/>
            <w:color w:val="000000" w:themeColor="text1"/>
            <w:sz w:val="16"/>
            <w:szCs w:val="16"/>
          </w:rPr>
          <w:t>Bronstein AC</w:t>
        </w:r>
      </w:hyperlink>
      <w:r w:rsidRPr="007647B4">
        <w:rPr>
          <w:rFonts w:asciiTheme="minorHAnsi" w:hAnsiTheme="minorHAnsi" w:cstheme="minorHAnsi"/>
          <w:color w:val="000000" w:themeColor="text1"/>
          <w:sz w:val="16"/>
          <w:szCs w:val="16"/>
        </w:rPr>
        <w:t>, </w:t>
      </w:r>
      <w:hyperlink r:id="rId23" w:history="1">
        <w:r w:rsidRPr="007647B4">
          <w:rPr>
            <w:rStyle w:val="Hyperlink"/>
            <w:rFonts w:asciiTheme="minorHAnsi" w:hAnsiTheme="minorHAnsi" w:cstheme="minorHAnsi"/>
            <w:color w:val="000000" w:themeColor="text1"/>
            <w:sz w:val="16"/>
            <w:szCs w:val="16"/>
          </w:rPr>
          <w:t>Bajaj L</w:t>
        </w:r>
      </w:hyperlink>
      <w:r w:rsidRPr="007647B4">
        <w:rPr>
          <w:rFonts w:asciiTheme="minorHAnsi" w:hAnsiTheme="minorHAnsi" w:cstheme="minorHAnsi"/>
          <w:color w:val="000000" w:themeColor="text1"/>
          <w:sz w:val="16"/>
          <w:szCs w:val="16"/>
        </w:rPr>
        <w:t>, </w:t>
      </w:r>
      <w:hyperlink r:id="rId24" w:history="1">
        <w:r w:rsidRPr="007647B4">
          <w:rPr>
            <w:rStyle w:val="Hyperlink"/>
            <w:rFonts w:asciiTheme="minorHAnsi" w:hAnsiTheme="minorHAnsi" w:cstheme="minorHAnsi"/>
            <w:color w:val="000000" w:themeColor="text1"/>
            <w:sz w:val="16"/>
            <w:szCs w:val="16"/>
          </w:rPr>
          <w:t xml:space="preserve">Roosevelt </w:t>
        </w:r>
        <w:proofErr w:type="spellStart"/>
        <w:r w:rsidRPr="007647B4">
          <w:rPr>
            <w:rStyle w:val="Hyperlink"/>
            <w:rFonts w:asciiTheme="minorHAnsi" w:hAnsiTheme="minorHAnsi" w:cstheme="minorHAnsi"/>
            <w:color w:val="000000" w:themeColor="text1"/>
            <w:sz w:val="16"/>
            <w:szCs w:val="16"/>
          </w:rPr>
          <w:t>G</w:t>
        </w:r>
      </w:hyperlink>
      <w:r w:rsidRPr="007647B4">
        <w:rPr>
          <w:rFonts w:asciiTheme="minorHAnsi" w:hAnsiTheme="minorHAnsi" w:cstheme="minorHAnsi"/>
          <w:color w:val="000000" w:themeColor="text1"/>
          <w:sz w:val="16"/>
          <w:szCs w:val="16"/>
        </w:rPr>
        <w:t>.Unintentional</w:t>
      </w:r>
      <w:proofErr w:type="spellEnd"/>
      <w:r w:rsidRPr="007647B4">
        <w:rPr>
          <w:rFonts w:asciiTheme="minorHAnsi" w:hAnsiTheme="minorHAnsi" w:cstheme="minorHAnsi"/>
          <w:color w:val="000000" w:themeColor="text1"/>
          <w:sz w:val="16"/>
          <w:szCs w:val="16"/>
        </w:rPr>
        <w:t xml:space="preserve"> Pediatric Exposures to Marijuana in Colorado, 2009-2015.</w:t>
      </w:r>
      <w:r w:rsidRPr="007647B4">
        <w:rPr>
          <w:rFonts w:asciiTheme="minorHAnsi" w:hAnsiTheme="minorHAnsi" w:cstheme="minorHAnsi"/>
          <w:color w:val="000000" w:themeColor="text1"/>
          <w:sz w:val="16"/>
          <w:szCs w:val="16"/>
        </w:rPr>
        <w:t xml:space="preserve"> </w:t>
      </w:r>
      <w:hyperlink r:id="rId25" w:tooltip="JAMA pediatrics." w:history="1">
        <w:r w:rsidRPr="007647B4">
          <w:rPr>
            <w:rStyle w:val="Hyperlink"/>
            <w:rFonts w:asciiTheme="minorHAnsi" w:hAnsiTheme="minorHAnsi" w:cstheme="minorHAnsi"/>
            <w:color w:val="000000" w:themeColor="text1"/>
            <w:sz w:val="16"/>
            <w:szCs w:val="16"/>
          </w:rPr>
          <w:t xml:space="preserve">JAMA </w:t>
        </w:r>
        <w:proofErr w:type="spellStart"/>
        <w:r w:rsidRPr="007647B4">
          <w:rPr>
            <w:rStyle w:val="Hyperlink"/>
            <w:rFonts w:asciiTheme="minorHAnsi" w:hAnsiTheme="minorHAnsi" w:cstheme="minorHAnsi"/>
            <w:color w:val="000000" w:themeColor="text1"/>
            <w:sz w:val="16"/>
            <w:szCs w:val="16"/>
          </w:rPr>
          <w:t>Pediatr</w:t>
        </w:r>
        <w:proofErr w:type="spellEnd"/>
        <w:r w:rsidRPr="007647B4">
          <w:rPr>
            <w:rStyle w:val="Hyperlink"/>
            <w:rFonts w:asciiTheme="minorHAnsi" w:hAnsiTheme="minorHAnsi" w:cstheme="minorHAnsi"/>
            <w:color w:val="000000" w:themeColor="text1"/>
            <w:sz w:val="16"/>
            <w:szCs w:val="16"/>
          </w:rPr>
          <w:t>.</w:t>
        </w:r>
      </w:hyperlink>
      <w:r w:rsidRPr="007647B4">
        <w:rPr>
          <w:rFonts w:asciiTheme="minorHAnsi" w:hAnsiTheme="minorHAnsi" w:cstheme="minorHAnsi"/>
          <w:color w:val="000000" w:themeColor="text1"/>
          <w:sz w:val="16"/>
          <w:szCs w:val="16"/>
        </w:rPr>
        <w:t> 2016 Sep 6;170(9</w:t>
      </w:r>
      <w:proofErr w:type="gramStart"/>
      <w:r w:rsidRPr="007647B4">
        <w:rPr>
          <w:rFonts w:asciiTheme="minorHAnsi" w:hAnsiTheme="minorHAnsi" w:cstheme="minorHAnsi"/>
          <w:color w:val="000000" w:themeColor="text1"/>
          <w:sz w:val="16"/>
          <w:szCs w:val="16"/>
        </w:rPr>
        <w:t>):e</w:t>
      </w:r>
      <w:proofErr w:type="gramEnd"/>
      <w:r w:rsidRPr="007647B4">
        <w:rPr>
          <w:rFonts w:asciiTheme="minorHAnsi" w:hAnsiTheme="minorHAnsi" w:cstheme="minorHAnsi"/>
          <w:color w:val="000000" w:themeColor="text1"/>
          <w:sz w:val="16"/>
          <w:szCs w:val="16"/>
        </w:rPr>
        <w:t xml:space="preserve">160971. </w:t>
      </w:r>
      <w:proofErr w:type="spellStart"/>
      <w:r w:rsidRPr="007647B4">
        <w:rPr>
          <w:rFonts w:asciiTheme="minorHAnsi" w:hAnsiTheme="minorHAnsi" w:cstheme="minorHAnsi"/>
          <w:color w:val="000000" w:themeColor="text1"/>
          <w:sz w:val="16"/>
          <w:szCs w:val="16"/>
        </w:rPr>
        <w:t>doi</w:t>
      </w:r>
      <w:proofErr w:type="spellEnd"/>
      <w:r w:rsidRPr="007647B4">
        <w:rPr>
          <w:rFonts w:asciiTheme="minorHAnsi" w:hAnsiTheme="minorHAnsi" w:cstheme="minorHAnsi"/>
          <w:color w:val="000000" w:themeColor="text1"/>
          <w:sz w:val="16"/>
          <w:szCs w:val="16"/>
        </w:rPr>
        <w:t xml:space="preserve">: 10.1001/jamapediatrics.2016.0971. </w:t>
      </w:r>
      <w:proofErr w:type="spellStart"/>
      <w:r w:rsidRPr="007647B4">
        <w:rPr>
          <w:rFonts w:asciiTheme="minorHAnsi" w:hAnsiTheme="minorHAnsi" w:cstheme="minorHAnsi"/>
          <w:color w:val="000000" w:themeColor="text1"/>
          <w:sz w:val="16"/>
          <w:szCs w:val="16"/>
        </w:rPr>
        <w:t>Epub</w:t>
      </w:r>
      <w:proofErr w:type="spellEnd"/>
      <w:r w:rsidRPr="007647B4">
        <w:rPr>
          <w:rFonts w:asciiTheme="minorHAnsi" w:hAnsiTheme="minorHAnsi" w:cstheme="minorHAnsi"/>
          <w:color w:val="000000" w:themeColor="text1"/>
          <w:sz w:val="16"/>
          <w:szCs w:val="16"/>
        </w:rPr>
        <w:t xml:space="preserve"> 2016 Sep 6.</w:t>
      </w:r>
    </w:p>
  </w:footnote>
  <w:footnote w:id="141">
    <w:p w14:paraId="4C2C4CBE" w14:textId="56C59E52" w:rsidR="007647B4" w:rsidRPr="007647B4" w:rsidRDefault="007647B4" w:rsidP="007647B4">
      <w:pPr>
        <w:pStyle w:val="desc"/>
        <w:shd w:val="clear" w:color="auto" w:fill="FFFFFF"/>
        <w:spacing w:before="0" w:beforeAutospacing="0" w:after="0" w:afterAutospacing="0"/>
        <w:rPr>
          <w:rFonts w:ascii="Arial" w:hAnsi="Arial" w:cs="Arial"/>
          <w:color w:val="000000"/>
          <w:sz w:val="22"/>
          <w:szCs w:val="22"/>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sz w:val="16"/>
          <w:szCs w:val="16"/>
        </w:rPr>
        <w:t xml:space="preserve">Hancock-Allen JB, Barker L, </w:t>
      </w:r>
      <w:proofErr w:type="spellStart"/>
      <w:r w:rsidRPr="007647B4">
        <w:rPr>
          <w:rFonts w:asciiTheme="minorHAnsi" w:hAnsiTheme="minorHAnsi" w:cstheme="minorHAnsi"/>
          <w:color w:val="000000"/>
          <w:sz w:val="16"/>
          <w:szCs w:val="16"/>
        </w:rPr>
        <w:t>VanDyke</w:t>
      </w:r>
      <w:proofErr w:type="spellEnd"/>
      <w:r w:rsidRPr="007647B4">
        <w:rPr>
          <w:rFonts w:asciiTheme="minorHAnsi" w:hAnsiTheme="minorHAnsi" w:cstheme="minorHAnsi"/>
          <w:color w:val="000000"/>
          <w:sz w:val="16"/>
          <w:szCs w:val="16"/>
        </w:rPr>
        <w:t xml:space="preserve"> M, Holmes DB.</w:t>
      </w:r>
      <w:r w:rsidRPr="00A070FF">
        <w:rPr>
          <w:rFonts w:asciiTheme="minorHAnsi" w:hAnsiTheme="minorHAnsi" w:cstheme="minorHAnsi"/>
          <w:color w:val="000000"/>
          <w:sz w:val="16"/>
          <w:szCs w:val="16"/>
        </w:rPr>
        <w:t xml:space="preserve"> </w:t>
      </w:r>
      <w:hyperlink r:id="rId26" w:history="1">
        <w:r w:rsidRPr="007647B4">
          <w:rPr>
            <w:rStyle w:val="Hyperlink"/>
            <w:rFonts w:asciiTheme="minorHAnsi" w:hAnsiTheme="minorHAnsi" w:cstheme="minorHAnsi"/>
            <w:color w:val="642A8F"/>
            <w:sz w:val="16"/>
            <w:szCs w:val="16"/>
          </w:rPr>
          <w:t>Notes from the Field: </w:t>
        </w:r>
        <w:r w:rsidRPr="007647B4">
          <w:rPr>
            <w:rStyle w:val="Hyperlink"/>
            <w:rFonts w:asciiTheme="minorHAnsi" w:hAnsiTheme="minorHAnsi" w:cstheme="minorHAnsi"/>
            <w:b/>
            <w:bCs/>
            <w:color w:val="642A8F"/>
            <w:sz w:val="16"/>
            <w:szCs w:val="16"/>
          </w:rPr>
          <w:t>Death</w:t>
        </w:r>
        <w:r w:rsidRPr="007647B4">
          <w:rPr>
            <w:rStyle w:val="Hyperlink"/>
            <w:rFonts w:asciiTheme="minorHAnsi" w:hAnsiTheme="minorHAnsi" w:cstheme="minorHAnsi"/>
            <w:color w:val="642A8F"/>
            <w:sz w:val="16"/>
            <w:szCs w:val="16"/>
          </w:rPr>
          <w:t> Following Ingestion of an Edible Marijuana Product--Colorado, March 2014.</w:t>
        </w:r>
      </w:hyperlink>
      <w:r w:rsidRPr="007647B4">
        <w:rPr>
          <w:rFonts w:asciiTheme="minorHAnsi" w:hAnsiTheme="minorHAnsi" w:cstheme="minorHAnsi"/>
          <w:color w:val="000000"/>
          <w:sz w:val="16"/>
          <w:szCs w:val="16"/>
        </w:rPr>
        <w:t xml:space="preserve"> </w:t>
      </w:r>
      <w:r w:rsidRPr="007647B4">
        <w:rPr>
          <w:rStyle w:val="jrnl"/>
          <w:rFonts w:asciiTheme="minorHAnsi" w:hAnsiTheme="minorHAnsi" w:cstheme="minorHAnsi"/>
          <w:b/>
          <w:bCs/>
          <w:color w:val="000000"/>
          <w:sz w:val="16"/>
          <w:szCs w:val="16"/>
        </w:rPr>
        <w:t xml:space="preserve">MMWR </w:t>
      </w:r>
      <w:proofErr w:type="spellStart"/>
      <w:r w:rsidRPr="007647B4">
        <w:rPr>
          <w:rStyle w:val="jrnl"/>
          <w:rFonts w:asciiTheme="minorHAnsi" w:hAnsiTheme="minorHAnsi" w:cstheme="minorHAnsi"/>
          <w:b/>
          <w:bCs/>
          <w:color w:val="000000"/>
          <w:sz w:val="16"/>
          <w:szCs w:val="16"/>
        </w:rPr>
        <w:t>Morb</w:t>
      </w:r>
      <w:proofErr w:type="spellEnd"/>
      <w:r w:rsidRPr="007647B4">
        <w:rPr>
          <w:rStyle w:val="jrnl"/>
          <w:rFonts w:asciiTheme="minorHAnsi" w:hAnsiTheme="minorHAnsi" w:cstheme="minorHAnsi"/>
          <w:b/>
          <w:bCs/>
          <w:color w:val="000000"/>
          <w:sz w:val="16"/>
          <w:szCs w:val="16"/>
        </w:rPr>
        <w:t xml:space="preserve"> Mortal </w:t>
      </w:r>
      <w:proofErr w:type="spellStart"/>
      <w:r w:rsidRPr="007647B4">
        <w:rPr>
          <w:rStyle w:val="jrnl"/>
          <w:rFonts w:asciiTheme="minorHAnsi" w:hAnsiTheme="minorHAnsi" w:cstheme="minorHAnsi"/>
          <w:b/>
          <w:bCs/>
          <w:color w:val="000000"/>
          <w:sz w:val="16"/>
          <w:szCs w:val="16"/>
        </w:rPr>
        <w:t>Wkly</w:t>
      </w:r>
      <w:proofErr w:type="spellEnd"/>
      <w:r w:rsidRPr="007647B4">
        <w:rPr>
          <w:rStyle w:val="jrnl"/>
          <w:rFonts w:asciiTheme="minorHAnsi" w:hAnsiTheme="minorHAnsi" w:cstheme="minorHAnsi"/>
          <w:b/>
          <w:bCs/>
          <w:color w:val="000000"/>
          <w:sz w:val="16"/>
          <w:szCs w:val="16"/>
        </w:rPr>
        <w:t xml:space="preserve"> Rep</w:t>
      </w:r>
      <w:r w:rsidRPr="007647B4">
        <w:rPr>
          <w:rFonts w:asciiTheme="minorHAnsi" w:hAnsiTheme="minorHAnsi" w:cstheme="minorHAnsi"/>
          <w:color w:val="000000"/>
          <w:sz w:val="16"/>
          <w:szCs w:val="16"/>
        </w:rPr>
        <w:t>. 2015 Jul 24;64(28):771-2.</w:t>
      </w:r>
      <w:r>
        <w:rPr>
          <w:rFonts w:ascii="Arial" w:hAnsi="Arial" w:cs="Arial"/>
          <w:color w:val="000000"/>
          <w:sz w:val="22"/>
          <w:szCs w:val="22"/>
        </w:rPr>
        <w:t xml:space="preserve"> </w:t>
      </w:r>
    </w:p>
  </w:footnote>
  <w:footnote w:id="142">
    <w:p w14:paraId="75F3481C" w14:textId="5147E9A3" w:rsidR="007647B4" w:rsidRPr="007647B4" w:rsidRDefault="007647B4" w:rsidP="007647B4">
      <w:pPr>
        <w:shd w:val="clear" w:color="auto" w:fill="FFFFFF"/>
        <w:rPr>
          <w:rFonts w:asciiTheme="minorHAnsi" w:hAnsiTheme="minorHAnsi" w:cstheme="minorHAnsi"/>
          <w:color w:val="000000"/>
          <w:sz w:val="16"/>
          <w:szCs w:val="16"/>
        </w:rPr>
      </w:pPr>
      <w:r w:rsidRPr="007647B4">
        <w:rPr>
          <w:rStyle w:val="FootnoteReference"/>
          <w:color w:val="000000" w:themeColor="text1"/>
          <w:sz w:val="16"/>
          <w:szCs w:val="16"/>
        </w:rPr>
        <w:footnoteRef/>
      </w:r>
      <w:r w:rsidRPr="007647B4">
        <w:rPr>
          <w:color w:val="000000" w:themeColor="text1"/>
          <w:sz w:val="16"/>
          <w:szCs w:val="16"/>
        </w:rPr>
        <w:t xml:space="preserve"> </w:t>
      </w:r>
      <w:r w:rsidRPr="007647B4">
        <w:rPr>
          <w:rFonts w:ascii="Arial" w:hAnsi="Arial" w:cs="Arial"/>
          <w:color w:val="000000" w:themeColor="text1"/>
          <w:sz w:val="16"/>
          <w:szCs w:val="16"/>
        </w:rPr>
        <w:t xml:space="preserve"> </w:t>
      </w:r>
      <w:r w:rsidRPr="007647B4">
        <w:rPr>
          <w:rFonts w:asciiTheme="minorHAnsi" w:hAnsiTheme="minorHAnsi" w:cstheme="minorHAnsi"/>
          <w:color w:val="000000" w:themeColor="text1"/>
          <w:sz w:val="16"/>
          <w:szCs w:val="16"/>
        </w:rPr>
        <w:fldChar w:fldCharType="begin"/>
      </w:r>
      <w:r w:rsidRPr="007647B4">
        <w:rPr>
          <w:rFonts w:asciiTheme="minorHAnsi" w:hAnsiTheme="minorHAnsi" w:cstheme="minorHAnsi"/>
          <w:color w:val="000000" w:themeColor="text1"/>
          <w:sz w:val="16"/>
          <w:szCs w:val="16"/>
        </w:rPr>
        <w:instrText xml:space="preserve"> HYPERLINK "https://www-ncbi-nlm-nih-gov.ucsf.idm.oclc.org/pubmed/?term=Lavi%20E%5BAuthor%5D&amp;cauthor=true&amp;cauthor_uid=26440670" </w:instrText>
      </w:r>
      <w:r w:rsidRPr="007647B4">
        <w:rPr>
          <w:rFonts w:asciiTheme="minorHAnsi" w:hAnsiTheme="minorHAnsi" w:cstheme="minorHAnsi"/>
          <w:color w:val="000000" w:themeColor="text1"/>
          <w:sz w:val="16"/>
          <w:szCs w:val="16"/>
        </w:rPr>
        <w:fldChar w:fldCharType="separate"/>
      </w:r>
      <w:proofErr w:type="spellStart"/>
      <w:r w:rsidRPr="007647B4">
        <w:rPr>
          <w:rStyle w:val="Hyperlink"/>
          <w:rFonts w:asciiTheme="minorHAnsi" w:hAnsiTheme="minorHAnsi" w:cstheme="minorHAnsi"/>
          <w:color w:val="000000" w:themeColor="text1"/>
          <w:sz w:val="16"/>
          <w:szCs w:val="16"/>
        </w:rPr>
        <w:t>Lavi</w:t>
      </w:r>
      <w:proofErr w:type="spellEnd"/>
      <w:r w:rsidRPr="007647B4">
        <w:rPr>
          <w:rStyle w:val="Hyperlink"/>
          <w:rFonts w:asciiTheme="minorHAnsi" w:hAnsiTheme="minorHAnsi" w:cstheme="minorHAnsi"/>
          <w:color w:val="000000" w:themeColor="text1"/>
          <w:sz w:val="16"/>
          <w:szCs w:val="16"/>
        </w:rPr>
        <w:t xml:space="preserve"> E</w:t>
      </w:r>
      <w:r w:rsidRPr="007647B4">
        <w:rPr>
          <w:rFonts w:asciiTheme="minorHAnsi" w:hAnsiTheme="minorHAnsi" w:cstheme="minorHAnsi"/>
          <w:color w:val="000000" w:themeColor="text1"/>
          <w:sz w:val="16"/>
          <w:szCs w:val="16"/>
        </w:rPr>
        <w:fldChar w:fldCharType="end"/>
      </w:r>
      <w:r w:rsidRPr="007647B4">
        <w:rPr>
          <w:rFonts w:asciiTheme="minorHAnsi" w:hAnsiTheme="minorHAnsi" w:cstheme="minorHAnsi"/>
          <w:color w:val="000000" w:themeColor="text1"/>
          <w:sz w:val="16"/>
          <w:szCs w:val="16"/>
        </w:rPr>
        <w:t>, </w:t>
      </w:r>
      <w:proofErr w:type="spellStart"/>
      <w:r w:rsidRPr="007647B4">
        <w:rPr>
          <w:rFonts w:asciiTheme="minorHAnsi" w:hAnsiTheme="minorHAnsi" w:cstheme="minorHAnsi"/>
          <w:color w:val="000000" w:themeColor="text1"/>
          <w:sz w:val="16"/>
          <w:szCs w:val="16"/>
        </w:rPr>
        <w:t>Rekhtman</w:t>
      </w:r>
      <w:proofErr w:type="spellEnd"/>
      <w:r w:rsidRPr="007647B4">
        <w:rPr>
          <w:rFonts w:asciiTheme="minorHAnsi" w:hAnsiTheme="minorHAnsi" w:cstheme="minorHAnsi"/>
          <w:color w:val="000000" w:themeColor="text1"/>
          <w:sz w:val="16"/>
          <w:szCs w:val="16"/>
        </w:rPr>
        <w:t xml:space="preserve"> D, </w:t>
      </w:r>
      <w:proofErr w:type="spellStart"/>
      <w:r w:rsidRPr="007647B4">
        <w:rPr>
          <w:rFonts w:asciiTheme="minorHAnsi" w:hAnsiTheme="minorHAnsi" w:cstheme="minorHAnsi"/>
          <w:color w:val="000000" w:themeColor="text1"/>
          <w:sz w:val="16"/>
          <w:szCs w:val="16"/>
        </w:rPr>
        <w:fldChar w:fldCharType="begin"/>
      </w:r>
      <w:r w:rsidRPr="007647B4">
        <w:rPr>
          <w:rFonts w:asciiTheme="minorHAnsi" w:hAnsiTheme="minorHAnsi" w:cstheme="minorHAnsi"/>
          <w:color w:val="000000" w:themeColor="text1"/>
          <w:sz w:val="16"/>
          <w:szCs w:val="16"/>
        </w:rPr>
        <w:instrText xml:space="preserve"> HYPERLINK "https://www-ncbi-nlm-nih-gov.ucsf.idm.oclc.org/pubmed/?term=Berkun%20Y%5BAuthor%5D&amp;cauthor=true&amp;cauthor_uid=26440670" </w:instrText>
      </w:r>
      <w:r w:rsidRPr="007647B4">
        <w:rPr>
          <w:rFonts w:asciiTheme="minorHAnsi" w:hAnsiTheme="minorHAnsi" w:cstheme="minorHAnsi"/>
          <w:color w:val="000000" w:themeColor="text1"/>
          <w:sz w:val="16"/>
          <w:szCs w:val="16"/>
        </w:rPr>
        <w:fldChar w:fldCharType="separate"/>
      </w:r>
      <w:r w:rsidRPr="007647B4">
        <w:rPr>
          <w:rStyle w:val="Hyperlink"/>
          <w:rFonts w:asciiTheme="minorHAnsi" w:hAnsiTheme="minorHAnsi" w:cstheme="minorHAnsi"/>
          <w:color w:val="000000" w:themeColor="text1"/>
          <w:sz w:val="16"/>
          <w:szCs w:val="16"/>
        </w:rPr>
        <w:t>Berkun</w:t>
      </w:r>
      <w:proofErr w:type="spellEnd"/>
      <w:r w:rsidRPr="007647B4">
        <w:rPr>
          <w:rStyle w:val="Hyperlink"/>
          <w:rFonts w:asciiTheme="minorHAnsi" w:hAnsiTheme="minorHAnsi" w:cstheme="minorHAnsi"/>
          <w:color w:val="000000" w:themeColor="text1"/>
          <w:sz w:val="16"/>
          <w:szCs w:val="16"/>
        </w:rPr>
        <w:t xml:space="preserve"> Y</w:t>
      </w:r>
      <w:r w:rsidRPr="007647B4">
        <w:rPr>
          <w:rFonts w:asciiTheme="minorHAnsi" w:hAnsiTheme="minorHAnsi" w:cstheme="minorHAnsi"/>
          <w:color w:val="000000" w:themeColor="text1"/>
          <w:sz w:val="16"/>
          <w:szCs w:val="16"/>
        </w:rPr>
        <w:fldChar w:fldCharType="end"/>
      </w:r>
      <w:r w:rsidRPr="007647B4">
        <w:rPr>
          <w:rFonts w:asciiTheme="minorHAnsi" w:hAnsiTheme="minorHAnsi" w:cstheme="minorHAnsi"/>
          <w:color w:val="000000" w:themeColor="text1"/>
          <w:sz w:val="16"/>
          <w:szCs w:val="16"/>
        </w:rPr>
        <w:t>, </w:t>
      </w:r>
      <w:hyperlink r:id="rId27" w:history="1">
        <w:r w:rsidRPr="007647B4">
          <w:rPr>
            <w:rStyle w:val="Hyperlink"/>
            <w:rFonts w:asciiTheme="minorHAnsi" w:hAnsiTheme="minorHAnsi" w:cstheme="minorHAnsi"/>
            <w:color w:val="000000" w:themeColor="text1"/>
            <w:sz w:val="16"/>
            <w:szCs w:val="16"/>
          </w:rPr>
          <w:t xml:space="preserve">Wexler </w:t>
        </w:r>
        <w:proofErr w:type="spellStart"/>
        <w:r w:rsidRPr="007647B4">
          <w:rPr>
            <w:rStyle w:val="Hyperlink"/>
            <w:rFonts w:asciiTheme="minorHAnsi" w:hAnsiTheme="minorHAnsi" w:cstheme="minorHAnsi"/>
            <w:color w:val="000000" w:themeColor="text1"/>
            <w:sz w:val="16"/>
            <w:szCs w:val="16"/>
          </w:rPr>
          <w:t>I</w:t>
        </w:r>
      </w:hyperlink>
      <w:r w:rsidRPr="007647B4">
        <w:rPr>
          <w:rFonts w:asciiTheme="minorHAnsi" w:hAnsiTheme="minorHAnsi" w:cstheme="minorHAnsi"/>
          <w:color w:val="000000" w:themeColor="text1"/>
          <w:sz w:val="16"/>
          <w:szCs w:val="16"/>
        </w:rPr>
        <w:t xml:space="preserve">. </w:t>
      </w:r>
      <w:proofErr w:type="spellEnd"/>
      <w:r w:rsidRPr="007647B4">
        <w:rPr>
          <w:rFonts w:asciiTheme="minorHAnsi" w:hAnsiTheme="minorHAnsi" w:cstheme="minorHAnsi"/>
          <w:color w:val="000000" w:themeColor="text1"/>
          <w:sz w:val="16"/>
          <w:szCs w:val="16"/>
        </w:rPr>
        <w:t>Sudden onset unexplained encephalopathy in infants: think of </w:t>
      </w:r>
      <w:r w:rsidRPr="007647B4">
        <w:rPr>
          <w:rStyle w:val="highlight"/>
          <w:rFonts w:asciiTheme="minorHAnsi" w:hAnsiTheme="minorHAnsi" w:cstheme="minorHAnsi"/>
          <w:color w:val="000000" w:themeColor="text1"/>
          <w:sz w:val="16"/>
          <w:szCs w:val="16"/>
        </w:rPr>
        <w:t>cannabis</w:t>
      </w:r>
      <w:r w:rsidRPr="007647B4">
        <w:rPr>
          <w:rFonts w:asciiTheme="minorHAnsi" w:hAnsiTheme="minorHAnsi" w:cstheme="minorHAnsi"/>
          <w:color w:val="000000" w:themeColor="text1"/>
          <w:sz w:val="16"/>
          <w:szCs w:val="16"/>
        </w:rPr>
        <w:t> </w:t>
      </w:r>
      <w:proofErr w:type="spellStart"/>
      <w:r w:rsidRPr="007647B4">
        <w:rPr>
          <w:rStyle w:val="highlight"/>
          <w:rFonts w:asciiTheme="minorHAnsi" w:hAnsiTheme="minorHAnsi" w:cstheme="minorHAnsi"/>
          <w:color w:val="000000" w:themeColor="text1"/>
          <w:sz w:val="16"/>
          <w:szCs w:val="16"/>
        </w:rPr>
        <w:t>intoxication</w:t>
      </w:r>
      <w:r w:rsidRPr="007647B4">
        <w:rPr>
          <w:rFonts w:asciiTheme="minorHAnsi" w:hAnsiTheme="minorHAnsi" w:cstheme="minorHAnsi"/>
          <w:color w:val="000000" w:themeColor="text1"/>
          <w:sz w:val="16"/>
          <w:szCs w:val="16"/>
        </w:rPr>
        <w:t>.</w:t>
      </w:r>
      <w:r w:rsidRPr="007647B4">
        <w:rPr>
          <w:rFonts w:asciiTheme="minorHAnsi" w:hAnsiTheme="minorHAnsi" w:cstheme="minorHAnsi"/>
          <w:color w:val="000000" w:themeColor="text1"/>
          <w:sz w:val="16"/>
          <w:szCs w:val="16"/>
        </w:rPr>
        <w:fldChar w:fldCharType="begin"/>
      </w:r>
      <w:r w:rsidRPr="007647B4">
        <w:rPr>
          <w:rFonts w:asciiTheme="minorHAnsi" w:hAnsiTheme="minorHAnsi" w:cstheme="minorHAnsi"/>
          <w:color w:val="000000" w:themeColor="text1"/>
          <w:sz w:val="16"/>
          <w:szCs w:val="16"/>
        </w:rPr>
        <w:instrText xml:space="preserve"> HYPERLINK "https://www-ncbi-nlm-nih-gov.ucsf.idm.oclc.org/pubmed/26440670" \o "European journal of pediatrics." </w:instrText>
      </w:r>
      <w:r w:rsidRPr="007647B4">
        <w:rPr>
          <w:rFonts w:asciiTheme="minorHAnsi" w:hAnsiTheme="minorHAnsi" w:cstheme="minorHAnsi"/>
          <w:color w:val="000000" w:themeColor="text1"/>
          <w:sz w:val="16"/>
          <w:szCs w:val="16"/>
        </w:rPr>
        <w:fldChar w:fldCharType="separate"/>
      </w:r>
      <w:r w:rsidRPr="007647B4">
        <w:rPr>
          <w:rStyle w:val="Hyperlink"/>
          <w:rFonts w:asciiTheme="minorHAnsi" w:hAnsiTheme="minorHAnsi" w:cstheme="minorHAnsi"/>
          <w:color w:val="000000" w:themeColor="text1"/>
          <w:sz w:val="16"/>
          <w:szCs w:val="16"/>
        </w:rPr>
        <w:t>Eur</w:t>
      </w:r>
      <w:proofErr w:type="spellEnd"/>
      <w:r w:rsidRPr="007647B4">
        <w:rPr>
          <w:rStyle w:val="Hyperlink"/>
          <w:rFonts w:asciiTheme="minorHAnsi" w:hAnsiTheme="minorHAnsi" w:cstheme="minorHAnsi"/>
          <w:color w:val="000000" w:themeColor="text1"/>
          <w:sz w:val="16"/>
          <w:szCs w:val="16"/>
        </w:rPr>
        <w:t xml:space="preserve"> J </w:t>
      </w:r>
      <w:proofErr w:type="spellStart"/>
      <w:r w:rsidRPr="007647B4">
        <w:rPr>
          <w:rStyle w:val="Hyperlink"/>
          <w:rFonts w:asciiTheme="minorHAnsi" w:hAnsiTheme="minorHAnsi" w:cstheme="minorHAnsi"/>
          <w:color w:val="000000" w:themeColor="text1"/>
          <w:sz w:val="16"/>
          <w:szCs w:val="16"/>
        </w:rPr>
        <w:t>Pediatr</w:t>
      </w:r>
      <w:proofErr w:type="spellEnd"/>
      <w:r w:rsidRPr="007647B4">
        <w:rPr>
          <w:rStyle w:val="Hyperlink"/>
          <w:rFonts w:asciiTheme="minorHAnsi" w:hAnsiTheme="minorHAnsi" w:cstheme="minorHAnsi"/>
          <w:color w:val="000000" w:themeColor="text1"/>
          <w:sz w:val="16"/>
          <w:szCs w:val="16"/>
        </w:rPr>
        <w:t>.</w:t>
      </w:r>
      <w:r w:rsidRPr="007647B4">
        <w:rPr>
          <w:rFonts w:asciiTheme="minorHAnsi" w:hAnsiTheme="minorHAnsi" w:cstheme="minorHAnsi"/>
          <w:color w:val="000000" w:themeColor="text1"/>
          <w:sz w:val="16"/>
          <w:szCs w:val="16"/>
        </w:rPr>
        <w:fldChar w:fldCharType="end"/>
      </w:r>
      <w:r w:rsidRPr="007647B4">
        <w:rPr>
          <w:rFonts w:asciiTheme="minorHAnsi" w:hAnsiTheme="minorHAnsi" w:cstheme="minorHAnsi"/>
          <w:color w:val="000000" w:themeColor="text1"/>
          <w:sz w:val="16"/>
          <w:szCs w:val="16"/>
        </w:rPr>
        <w:t xml:space="preserve"> 2016 Mar;175(3):417-20. </w:t>
      </w:r>
      <w:proofErr w:type="spellStart"/>
      <w:r w:rsidRPr="007647B4">
        <w:rPr>
          <w:rFonts w:asciiTheme="minorHAnsi" w:hAnsiTheme="minorHAnsi" w:cstheme="minorHAnsi"/>
          <w:color w:val="000000" w:themeColor="text1"/>
          <w:sz w:val="16"/>
          <w:szCs w:val="16"/>
        </w:rPr>
        <w:t>doi</w:t>
      </w:r>
      <w:proofErr w:type="spellEnd"/>
      <w:r w:rsidRPr="007647B4">
        <w:rPr>
          <w:rFonts w:asciiTheme="minorHAnsi" w:hAnsiTheme="minorHAnsi" w:cstheme="minorHAnsi"/>
          <w:color w:val="000000" w:themeColor="text1"/>
          <w:sz w:val="16"/>
          <w:szCs w:val="16"/>
        </w:rPr>
        <w:t xml:space="preserve">: 10.1007/s00431-015-2639-9. </w:t>
      </w:r>
      <w:proofErr w:type="spellStart"/>
      <w:r w:rsidRPr="007647B4">
        <w:rPr>
          <w:rFonts w:asciiTheme="minorHAnsi" w:hAnsiTheme="minorHAnsi" w:cstheme="minorHAnsi"/>
          <w:color w:val="000000" w:themeColor="text1"/>
          <w:sz w:val="16"/>
          <w:szCs w:val="16"/>
        </w:rPr>
        <w:t>Epub</w:t>
      </w:r>
      <w:proofErr w:type="spellEnd"/>
      <w:r w:rsidRPr="007647B4">
        <w:rPr>
          <w:rFonts w:asciiTheme="minorHAnsi" w:hAnsiTheme="minorHAnsi" w:cstheme="minorHAnsi"/>
          <w:color w:val="000000" w:themeColor="text1"/>
          <w:sz w:val="16"/>
          <w:szCs w:val="16"/>
        </w:rPr>
        <w:t xml:space="preserve"> 2015 Oct 6.</w:t>
      </w:r>
    </w:p>
  </w:footnote>
  <w:footnote w:id="143">
    <w:p w14:paraId="5B23D38E" w14:textId="2BDDC735" w:rsidR="007647B4" w:rsidRPr="007647B4" w:rsidRDefault="007647B4" w:rsidP="007647B4">
      <w:pPr>
        <w:shd w:val="clear" w:color="auto" w:fill="FFFFFF"/>
        <w:contextualSpacing/>
        <w:rPr>
          <w:rFonts w:asciiTheme="minorHAnsi" w:hAnsiTheme="minorHAnsi" w:cstheme="minorHAnsi"/>
          <w:color w:val="000000"/>
          <w:sz w:val="16"/>
          <w:szCs w:val="16"/>
        </w:rPr>
      </w:pPr>
      <w:r w:rsidRPr="007647B4">
        <w:rPr>
          <w:rStyle w:val="FootnoteReference"/>
          <w:rFonts w:asciiTheme="minorHAnsi" w:hAnsiTheme="minorHAnsi" w:cstheme="minorHAnsi"/>
          <w:sz w:val="16"/>
          <w:szCs w:val="16"/>
        </w:rPr>
        <w:footnoteRef/>
      </w:r>
      <w:r w:rsidRPr="007647B4">
        <w:rPr>
          <w:rFonts w:asciiTheme="minorHAnsi" w:hAnsiTheme="minorHAnsi" w:cstheme="minorHAnsi"/>
          <w:sz w:val="16"/>
          <w:szCs w:val="16"/>
        </w:rPr>
        <w:t xml:space="preserve"> </w:t>
      </w:r>
      <w:r w:rsidRPr="007647B4">
        <w:rPr>
          <w:rFonts w:asciiTheme="minorHAnsi" w:hAnsiTheme="minorHAnsi" w:cstheme="minorHAnsi"/>
          <w:color w:val="000000"/>
          <w:sz w:val="16"/>
          <w:szCs w:val="16"/>
        </w:rPr>
        <w:fldChar w:fldCharType="begin"/>
      </w:r>
      <w:r w:rsidRPr="007647B4">
        <w:rPr>
          <w:rFonts w:asciiTheme="minorHAnsi" w:hAnsiTheme="minorHAnsi" w:cstheme="minorHAnsi"/>
          <w:color w:val="000000"/>
          <w:sz w:val="16"/>
          <w:szCs w:val="16"/>
        </w:rPr>
        <w:instrText xml:space="preserve"> HYPERLINK "https://www-ncbi-nlm-nih-gov.ucsf.idm.oclc.org/pubmed/?term=Boadu%20O%5BAuthor%5D&amp;cauthor=true&amp;cauthor_uid=29406477" </w:instrText>
      </w:r>
      <w:r w:rsidRPr="007647B4">
        <w:rPr>
          <w:rFonts w:asciiTheme="minorHAnsi" w:hAnsiTheme="minorHAnsi" w:cstheme="minorHAnsi"/>
          <w:color w:val="000000"/>
          <w:sz w:val="16"/>
          <w:szCs w:val="16"/>
        </w:rPr>
        <w:fldChar w:fldCharType="separate"/>
      </w:r>
      <w:proofErr w:type="spellStart"/>
      <w:r w:rsidRPr="007647B4">
        <w:rPr>
          <w:rStyle w:val="Hyperlink"/>
          <w:rFonts w:asciiTheme="minorHAnsi" w:hAnsiTheme="minorHAnsi" w:cstheme="minorHAnsi"/>
          <w:color w:val="660066"/>
          <w:sz w:val="16"/>
          <w:szCs w:val="16"/>
        </w:rPr>
        <w:t>Boadu</w:t>
      </w:r>
      <w:proofErr w:type="spellEnd"/>
      <w:r w:rsidRPr="007647B4">
        <w:rPr>
          <w:rStyle w:val="Hyperlink"/>
          <w:rFonts w:asciiTheme="minorHAnsi" w:hAnsiTheme="minorHAnsi" w:cstheme="minorHAnsi"/>
          <w:color w:val="660066"/>
          <w:sz w:val="16"/>
          <w:szCs w:val="16"/>
        </w:rPr>
        <w:t xml:space="preserve"> O</w:t>
      </w:r>
      <w:r w:rsidRPr="007647B4">
        <w:rPr>
          <w:rFonts w:asciiTheme="minorHAnsi" w:hAnsiTheme="minorHAnsi" w:cstheme="minorHAnsi"/>
          <w:color w:val="000000"/>
          <w:sz w:val="16"/>
          <w:szCs w:val="16"/>
        </w:rPr>
        <w:fldChar w:fldCharType="end"/>
      </w:r>
      <w:r w:rsidRPr="007647B4">
        <w:rPr>
          <w:rFonts w:asciiTheme="minorHAnsi" w:hAnsiTheme="minorHAnsi" w:cstheme="minorHAnsi"/>
          <w:color w:val="000000"/>
          <w:sz w:val="16"/>
          <w:szCs w:val="16"/>
        </w:rPr>
        <w:t>, </w:t>
      </w:r>
      <w:proofErr w:type="spellStart"/>
      <w:r w:rsidRPr="007647B4">
        <w:rPr>
          <w:rFonts w:asciiTheme="minorHAnsi" w:hAnsiTheme="minorHAnsi" w:cstheme="minorHAnsi"/>
          <w:color w:val="000000"/>
          <w:sz w:val="16"/>
          <w:szCs w:val="16"/>
        </w:rPr>
        <w:fldChar w:fldCharType="begin"/>
      </w:r>
      <w:r w:rsidRPr="007647B4">
        <w:rPr>
          <w:rFonts w:asciiTheme="minorHAnsi" w:hAnsiTheme="minorHAnsi" w:cstheme="minorHAnsi"/>
          <w:color w:val="000000"/>
          <w:sz w:val="16"/>
          <w:szCs w:val="16"/>
        </w:rPr>
        <w:instrText xml:space="preserve"> HYPERLINK "https://www-ncbi-nlm-nih-gov.ucsf.idm.oclc.org/pubmed/?term=Gombolay%20GY%5BAuthor%5D&amp;cauthor=true&amp;cauthor_uid=29406477" </w:instrText>
      </w:r>
      <w:r w:rsidRPr="007647B4">
        <w:rPr>
          <w:rFonts w:asciiTheme="minorHAnsi" w:hAnsiTheme="minorHAnsi" w:cstheme="minorHAnsi"/>
          <w:color w:val="000000"/>
          <w:sz w:val="16"/>
          <w:szCs w:val="16"/>
        </w:rPr>
        <w:fldChar w:fldCharType="separate"/>
      </w:r>
      <w:r w:rsidRPr="007647B4">
        <w:rPr>
          <w:rStyle w:val="Hyperlink"/>
          <w:rFonts w:asciiTheme="minorHAnsi" w:hAnsiTheme="minorHAnsi" w:cstheme="minorHAnsi"/>
          <w:color w:val="660066"/>
          <w:sz w:val="16"/>
          <w:szCs w:val="16"/>
        </w:rPr>
        <w:t>Gombolay</w:t>
      </w:r>
      <w:proofErr w:type="spellEnd"/>
      <w:r w:rsidRPr="007647B4">
        <w:rPr>
          <w:rStyle w:val="Hyperlink"/>
          <w:rFonts w:asciiTheme="minorHAnsi" w:hAnsiTheme="minorHAnsi" w:cstheme="minorHAnsi"/>
          <w:color w:val="660066"/>
          <w:sz w:val="16"/>
          <w:szCs w:val="16"/>
        </w:rPr>
        <w:t xml:space="preserve"> GY</w:t>
      </w:r>
      <w:r w:rsidRPr="007647B4">
        <w:rPr>
          <w:rFonts w:asciiTheme="minorHAnsi" w:hAnsiTheme="minorHAnsi" w:cstheme="minorHAnsi"/>
          <w:color w:val="000000"/>
          <w:sz w:val="16"/>
          <w:szCs w:val="16"/>
        </w:rPr>
        <w:fldChar w:fldCharType="end"/>
      </w:r>
      <w:r w:rsidRPr="007647B4">
        <w:rPr>
          <w:rFonts w:asciiTheme="minorHAnsi" w:hAnsiTheme="minorHAnsi" w:cstheme="minorHAnsi"/>
          <w:color w:val="000000"/>
          <w:sz w:val="16"/>
          <w:szCs w:val="16"/>
        </w:rPr>
        <w:t>, </w:t>
      </w:r>
      <w:proofErr w:type="spellStart"/>
      <w:r w:rsidRPr="007647B4">
        <w:rPr>
          <w:rFonts w:asciiTheme="minorHAnsi" w:hAnsiTheme="minorHAnsi" w:cstheme="minorHAnsi"/>
          <w:color w:val="000000"/>
          <w:sz w:val="16"/>
          <w:szCs w:val="16"/>
        </w:rPr>
        <w:fldChar w:fldCharType="begin"/>
      </w:r>
      <w:r w:rsidRPr="007647B4">
        <w:rPr>
          <w:rFonts w:asciiTheme="minorHAnsi" w:hAnsiTheme="minorHAnsi" w:cstheme="minorHAnsi"/>
          <w:color w:val="000000"/>
          <w:sz w:val="16"/>
          <w:szCs w:val="16"/>
        </w:rPr>
        <w:instrText xml:space="preserve"> HYPERLINK "https://www-ncbi-nlm-nih-gov.ucsf.idm.oclc.org/pubmed/?term=Caviness%20VS%5BAuthor%5D&amp;cauthor=true&amp;cauthor_uid=29406477" </w:instrText>
      </w:r>
      <w:r w:rsidRPr="007647B4">
        <w:rPr>
          <w:rFonts w:asciiTheme="minorHAnsi" w:hAnsiTheme="minorHAnsi" w:cstheme="minorHAnsi"/>
          <w:color w:val="000000"/>
          <w:sz w:val="16"/>
          <w:szCs w:val="16"/>
        </w:rPr>
        <w:fldChar w:fldCharType="separate"/>
      </w:r>
      <w:r w:rsidRPr="007647B4">
        <w:rPr>
          <w:rStyle w:val="Hyperlink"/>
          <w:rFonts w:asciiTheme="minorHAnsi" w:hAnsiTheme="minorHAnsi" w:cstheme="minorHAnsi"/>
          <w:color w:val="660066"/>
          <w:sz w:val="16"/>
          <w:szCs w:val="16"/>
        </w:rPr>
        <w:t>Caviness</w:t>
      </w:r>
      <w:proofErr w:type="spellEnd"/>
      <w:r w:rsidRPr="007647B4">
        <w:rPr>
          <w:rStyle w:val="Hyperlink"/>
          <w:rFonts w:asciiTheme="minorHAnsi" w:hAnsiTheme="minorHAnsi" w:cstheme="minorHAnsi"/>
          <w:color w:val="660066"/>
          <w:sz w:val="16"/>
          <w:szCs w:val="16"/>
        </w:rPr>
        <w:t xml:space="preserve"> VS</w:t>
      </w:r>
      <w:r w:rsidRPr="007647B4">
        <w:rPr>
          <w:rFonts w:asciiTheme="minorHAnsi" w:hAnsiTheme="minorHAnsi" w:cstheme="minorHAnsi"/>
          <w:color w:val="000000"/>
          <w:sz w:val="16"/>
          <w:szCs w:val="16"/>
        </w:rPr>
        <w:fldChar w:fldCharType="end"/>
      </w:r>
      <w:r w:rsidRPr="007647B4">
        <w:rPr>
          <w:rFonts w:asciiTheme="minorHAnsi" w:hAnsiTheme="minorHAnsi" w:cstheme="minorHAnsi"/>
          <w:color w:val="000000"/>
          <w:sz w:val="16"/>
          <w:szCs w:val="16"/>
        </w:rPr>
        <w:t>, </w:t>
      </w:r>
      <w:hyperlink r:id="rId28" w:history="1">
        <w:r w:rsidRPr="007647B4">
          <w:rPr>
            <w:rStyle w:val="Hyperlink"/>
            <w:rFonts w:asciiTheme="minorHAnsi" w:hAnsiTheme="minorHAnsi" w:cstheme="minorHAnsi"/>
            <w:color w:val="660066"/>
            <w:sz w:val="16"/>
            <w:szCs w:val="16"/>
          </w:rPr>
          <w:t xml:space="preserve">El </w:t>
        </w:r>
        <w:proofErr w:type="spellStart"/>
        <w:r w:rsidRPr="007647B4">
          <w:rPr>
            <w:rStyle w:val="Hyperlink"/>
            <w:rFonts w:asciiTheme="minorHAnsi" w:hAnsiTheme="minorHAnsi" w:cstheme="minorHAnsi"/>
            <w:color w:val="660066"/>
            <w:sz w:val="16"/>
            <w:szCs w:val="16"/>
          </w:rPr>
          <w:t>Saleeby</w:t>
        </w:r>
        <w:proofErr w:type="spellEnd"/>
        <w:r w:rsidRPr="007647B4">
          <w:rPr>
            <w:rStyle w:val="Hyperlink"/>
            <w:rFonts w:asciiTheme="minorHAnsi" w:hAnsiTheme="minorHAnsi" w:cstheme="minorHAnsi"/>
            <w:color w:val="660066"/>
            <w:sz w:val="16"/>
            <w:szCs w:val="16"/>
          </w:rPr>
          <w:t xml:space="preserve"> CM</w:t>
        </w:r>
      </w:hyperlink>
      <w:r w:rsidRPr="007647B4">
        <w:rPr>
          <w:rFonts w:asciiTheme="minorHAnsi" w:hAnsiTheme="minorHAnsi" w:cstheme="minorHAnsi"/>
          <w:color w:val="000000"/>
          <w:sz w:val="16"/>
          <w:szCs w:val="16"/>
        </w:rPr>
        <w:t>.</w:t>
      </w:r>
      <w:r w:rsidRPr="007647B4">
        <w:rPr>
          <w:rFonts w:asciiTheme="minorHAnsi" w:hAnsiTheme="minorHAnsi" w:cstheme="minorHAnsi"/>
          <w:color w:val="000000"/>
          <w:sz w:val="16"/>
          <w:szCs w:val="16"/>
        </w:rPr>
        <w:t xml:space="preserve"> </w:t>
      </w:r>
      <w:r w:rsidRPr="007647B4">
        <w:rPr>
          <w:rStyle w:val="highlight"/>
          <w:rFonts w:asciiTheme="minorHAnsi" w:hAnsiTheme="minorHAnsi" w:cstheme="minorHAnsi"/>
          <w:color w:val="000000"/>
          <w:sz w:val="16"/>
          <w:szCs w:val="16"/>
        </w:rPr>
        <w:t>Intoxication</w:t>
      </w:r>
      <w:r w:rsidRPr="007647B4">
        <w:rPr>
          <w:rFonts w:asciiTheme="minorHAnsi" w:hAnsiTheme="minorHAnsi" w:cstheme="minorHAnsi"/>
          <w:color w:val="000000"/>
          <w:sz w:val="16"/>
          <w:szCs w:val="16"/>
        </w:rPr>
        <w:t> </w:t>
      </w:r>
      <w:proofErr w:type="gramStart"/>
      <w:r w:rsidRPr="007647B4">
        <w:rPr>
          <w:rFonts w:asciiTheme="minorHAnsi" w:hAnsiTheme="minorHAnsi" w:cstheme="minorHAnsi"/>
          <w:color w:val="000000"/>
          <w:sz w:val="16"/>
          <w:szCs w:val="16"/>
        </w:rPr>
        <w:t>From</w:t>
      </w:r>
      <w:proofErr w:type="gramEnd"/>
      <w:r w:rsidRPr="007647B4">
        <w:rPr>
          <w:rFonts w:asciiTheme="minorHAnsi" w:hAnsiTheme="minorHAnsi" w:cstheme="minorHAnsi"/>
          <w:color w:val="000000"/>
          <w:sz w:val="16"/>
          <w:szCs w:val="16"/>
        </w:rPr>
        <w:t xml:space="preserve"> Accidental Marijuana Ingestion in </w:t>
      </w:r>
      <w:r w:rsidRPr="007647B4">
        <w:rPr>
          <w:rStyle w:val="highlight"/>
          <w:rFonts w:asciiTheme="minorHAnsi" w:hAnsiTheme="minorHAnsi" w:cstheme="minorHAnsi"/>
          <w:color w:val="000000"/>
          <w:sz w:val="16"/>
          <w:szCs w:val="16"/>
        </w:rPr>
        <w:t>Pediatric</w:t>
      </w:r>
      <w:r w:rsidRPr="007647B4">
        <w:rPr>
          <w:rFonts w:asciiTheme="minorHAnsi" w:hAnsiTheme="minorHAnsi" w:cstheme="minorHAnsi"/>
          <w:color w:val="000000"/>
          <w:sz w:val="16"/>
          <w:szCs w:val="16"/>
        </w:rPr>
        <w:t> Patients: What May Lie Ahead.</w:t>
      </w:r>
      <w:r w:rsidRPr="007647B4">
        <w:rPr>
          <w:rFonts w:asciiTheme="minorHAnsi" w:hAnsiTheme="minorHAnsi" w:cstheme="minorHAnsi"/>
          <w:color w:val="000000"/>
          <w:sz w:val="16"/>
          <w:szCs w:val="16"/>
        </w:rPr>
        <w:t xml:space="preserve"> </w:t>
      </w:r>
      <w:hyperlink r:id="rId29" w:tooltip="Pediatric emergency care." w:history="1">
        <w:proofErr w:type="spellStart"/>
        <w:r w:rsidRPr="007647B4">
          <w:rPr>
            <w:rStyle w:val="Hyperlink"/>
            <w:rFonts w:asciiTheme="minorHAnsi" w:hAnsiTheme="minorHAnsi" w:cstheme="minorHAnsi"/>
            <w:color w:val="660066"/>
            <w:sz w:val="16"/>
            <w:szCs w:val="16"/>
          </w:rPr>
          <w:t>Pediatr</w:t>
        </w:r>
        <w:proofErr w:type="spellEnd"/>
        <w:r w:rsidRPr="007647B4">
          <w:rPr>
            <w:rStyle w:val="Hyperlink"/>
            <w:rFonts w:asciiTheme="minorHAnsi" w:hAnsiTheme="minorHAnsi" w:cstheme="minorHAnsi"/>
            <w:color w:val="660066"/>
            <w:sz w:val="16"/>
            <w:szCs w:val="16"/>
          </w:rPr>
          <w:t xml:space="preserve"> </w:t>
        </w:r>
        <w:proofErr w:type="spellStart"/>
        <w:r w:rsidRPr="007647B4">
          <w:rPr>
            <w:rStyle w:val="Hyperlink"/>
            <w:rFonts w:asciiTheme="minorHAnsi" w:hAnsiTheme="minorHAnsi" w:cstheme="minorHAnsi"/>
            <w:color w:val="660066"/>
            <w:sz w:val="16"/>
            <w:szCs w:val="16"/>
          </w:rPr>
          <w:t>Emerg</w:t>
        </w:r>
        <w:proofErr w:type="spellEnd"/>
        <w:r w:rsidRPr="007647B4">
          <w:rPr>
            <w:rStyle w:val="Hyperlink"/>
            <w:rFonts w:asciiTheme="minorHAnsi" w:hAnsiTheme="minorHAnsi" w:cstheme="minorHAnsi"/>
            <w:color w:val="660066"/>
            <w:sz w:val="16"/>
            <w:szCs w:val="16"/>
          </w:rPr>
          <w:t xml:space="preserve"> Care.</w:t>
        </w:r>
      </w:hyperlink>
      <w:r w:rsidRPr="007647B4">
        <w:rPr>
          <w:rFonts w:asciiTheme="minorHAnsi" w:hAnsiTheme="minorHAnsi" w:cstheme="minorHAnsi"/>
          <w:color w:val="000000"/>
          <w:sz w:val="16"/>
          <w:szCs w:val="16"/>
        </w:rPr>
        <w:t xml:space="preserve"> 2018 Feb 5. </w:t>
      </w:r>
      <w:proofErr w:type="spellStart"/>
      <w:r w:rsidRPr="007647B4">
        <w:rPr>
          <w:rFonts w:asciiTheme="minorHAnsi" w:hAnsiTheme="minorHAnsi" w:cstheme="minorHAnsi"/>
          <w:color w:val="000000"/>
          <w:sz w:val="16"/>
          <w:szCs w:val="16"/>
        </w:rPr>
        <w:t>doi</w:t>
      </w:r>
      <w:proofErr w:type="spellEnd"/>
      <w:r w:rsidRPr="007647B4">
        <w:rPr>
          <w:rFonts w:asciiTheme="minorHAnsi" w:hAnsiTheme="minorHAnsi" w:cstheme="minorHAnsi"/>
          <w:color w:val="000000"/>
          <w:sz w:val="16"/>
          <w:szCs w:val="16"/>
        </w:rPr>
        <w:t>: 10.1097/PEC.0000000000001420. [</w:t>
      </w:r>
      <w:proofErr w:type="spellStart"/>
      <w:r w:rsidRPr="007647B4">
        <w:rPr>
          <w:rFonts w:asciiTheme="minorHAnsi" w:hAnsiTheme="minorHAnsi" w:cstheme="minorHAnsi"/>
          <w:color w:val="000000"/>
          <w:sz w:val="16"/>
          <w:szCs w:val="16"/>
        </w:rPr>
        <w:t>Epub</w:t>
      </w:r>
      <w:proofErr w:type="spellEnd"/>
      <w:r w:rsidRPr="007647B4">
        <w:rPr>
          <w:rFonts w:asciiTheme="minorHAnsi" w:hAnsiTheme="minorHAnsi" w:cstheme="minorHAnsi"/>
          <w:color w:val="000000"/>
          <w:sz w:val="16"/>
          <w:szCs w:val="16"/>
        </w:rPr>
        <w:t xml:space="preserve"> ahead of print]</w:t>
      </w:r>
    </w:p>
  </w:footnote>
  <w:footnote w:id="144">
    <w:p w14:paraId="40E47CE6" w14:textId="61CBD6A1" w:rsidR="007647B4" w:rsidRPr="00804E4F" w:rsidRDefault="007647B4">
      <w:pPr>
        <w:pStyle w:val="FootnoteText"/>
        <w:rPr>
          <w:sz w:val="16"/>
          <w:szCs w:val="16"/>
        </w:rPr>
      </w:pPr>
      <w:r w:rsidRPr="00804E4F">
        <w:rPr>
          <w:rStyle w:val="FootnoteReference"/>
          <w:sz w:val="16"/>
          <w:szCs w:val="16"/>
        </w:rPr>
        <w:footnoteRef/>
      </w:r>
      <w:r w:rsidRPr="00804E4F">
        <w:rPr>
          <w:sz w:val="16"/>
          <w:szCs w:val="16"/>
        </w:rPr>
        <w:t xml:space="preserve"> </w:t>
      </w:r>
      <w:r w:rsidRPr="00804E4F">
        <w:rPr>
          <w:color w:val="000000" w:themeColor="text1"/>
          <w:sz w:val="16"/>
          <w:szCs w:val="16"/>
        </w:rPr>
        <w:t>Freeman, B., S. Chapman, and M. Rimmer, The case for the plain packaging of tobacco products. Addiction, 2008. 103(4): p. 580-90.</w:t>
      </w:r>
    </w:p>
  </w:footnote>
  <w:footnote w:id="145">
    <w:p w14:paraId="18CEB62A" w14:textId="274003ED" w:rsidR="007647B4" w:rsidRPr="00804E4F" w:rsidRDefault="007647B4" w:rsidP="00DC723F">
      <w:pPr>
        <w:rPr>
          <w:color w:val="000000" w:themeColor="text1"/>
          <w:sz w:val="16"/>
          <w:szCs w:val="16"/>
        </w:rPr>
      </w:pPr>
      <w:r w:rsidRPr="00804E4F">
        <w:rPr>
          <w:rStyle w:val="FootnoteReference"/>
          <w:sz w:val="16"/>
          <w:szCs w:val="16"/>
        </w:rPr>
        <w:footnoteRef/>
      </w:r>
      <w:r w:rsidRPr="00804E4F">
        <w:rPr>
          <w:sz w:val="16"/>
          <w:szCs w:val="16"/>
        </w:rPr>
        <w:t xml:space="preserve"> </w:t>
      </w:r>
      <w:r w:rsidRPr="00804E4F">
        <w:rPr>
          <w:color w:val="000000" w:themeColor="text1"/>
          <w:sz w:val="16"/>
          <w:szCs w:val="16"/>
        </w:rPr>
        <w:t xml:space="preserve">Wakefield, M., et al., The cigarette pack as image: new evidence from tobacco industry documents. Tob Control, 2002. 11 Suppl 1: p. I73-80. </w:t>
      </w:r>
    </w:p>
  </w:footnote>
  <w:footnote w:id="146">
    <w:p w14:paraId="1B37D0CC" w14:textId="351A1301" w:rsidR="007647B4" w:rsidRPr="00DC723F" w:rsidRDefault="007647B4">
      <w:pPr>
        <w:pStyle w:val="FootnoteText"/>
        <w:rPr>
          <w:sz w:val="16"/>
          <w:szCs w:val="16"/>
        </w:rPr>
      </w:pPr>
      <w:r w:rsidRPr="00804E4F">
        <w:rPr>
          <w:rStyle w:val="FootnoteReference"/>
          <w:sz w:val="16"/>
          <w:szCs w:val="16"/>
        </w:rPr>
        <w:footnoteRef/>
      </w:r>
      <w:r w:rsidRPr="00804E4F">
        <w:rPr>
          <w:sz w:val="16"/>
          <w:szCs w:val="16"/>
        </w:rPr>
        <w:t xml:space="preserve"> </w:t>
      </w:r>
      <w:r w:rsidRPr="00804E4F">
        <w:rPr>
          <w:color w:val="000000" w:themeColor="text1"/>
          <w:sz w:val="16"/>
          <w:szCs w:val="16"/>
        </w:rPr>
        <w:t>Robertson, L., et al., Point-of-sale tobacco promotion and youth smoking: a meta-analysis. Tob Control, 2016. 25(e2): p. e83-e89.</w:t>
      </w:r>
    </w:p>
  </w:footnote>
  <w:footnote w:id="147">
    <w:p w14:paraId="6B818B19" w14:textId="32948722" w:rsidR="007647B4" w:rsidRPr="00804E4F" w:rsidRDefault="007647B4">
      <w:pPr>
        <w:pStyle w:val="FootnoteText"/>
        <w:rPr>
          <w:sz w:val="16"/>
          <w:szCs w:val="16"/>
        </w:rPr>
      </w:pPr>
      <w:r w:rsidRPr="00804E4F">
        <w:rPr>
          <w:rStyle w:val="FootnoteReference"/>
          <w:sz w:val="16"/>
          <w:szCs w:val="16"/>
        </w:rPr>
        <w:footnoteRef/>
      </w:r>
      <w:r w:rsidRPr="00804E4F">
        <w:rPr>
          <w:sz w:val="16"/>
          <w:szCs w:val="16"/>
        </w:rPr>
        <w:t xml:space="preserve"> </w:t>
      </w:r>
      <w:r w:rsidRPr="00804E4F">
        <w:rPr>
          <w:rFonts w:cs="Arial"/>
          <w:color w:val="000000" w:themeColor="text1"/>
          <w:sz w:val="16"/>
          <w:szCs w:val="16"/>
        </w:rPr>
        <w:t>World Health Organization, WHO Framework Convention on Tobacco Control. 2003, WHO Press: Geneva, Switzerland.</w:t>
      </w:r>
    </w:p>
  </w:footnote>
  <w:footnote w:id="148">
    <w:p w14:paraId="1023B6A9" w14:textId="0428F94A" w:rsidR="007647B4" w:rsidRPr="00804E4F" w:rsidRDefault="007647B4">
      <w:pPr>
        <w:pStyle w:val="FootnoteText"/>
        <w:rPr>
          <w:sz w:val="16"/>
          <w:szCs w:val="16"/>
        </w:rPr>
      </w:pPr>
      <w:r w:rsidRPr="00804E4F">
        <w:rPr>
          <w:rStyle w:val="FootnoteReference"/>
          <w:sz w:val="16"/>
          <w:szCs w:val="16"/>
        </w:rPr>
        <w:footnoteRef/>
      </w:r>
      <w:r w:rsidRPr="00804E4F">
        <w:rPr>
          <w:sz w:val="16"/>
          <w:szCs w:val="16"/>
        </w:rPr>
        <w:t xml:space="preserve"> </w:t>
      </w:r>
      <w:r w:rsidRPr="00804E4F">
        <w:rPr>
          <w:color w:val="000000" w:themeColor="text1"/>
          <w:sz w:val="16"/>
          <w:szCs w:val="16"/>
        </w:rPr>
        <w:t>Freeman, B., S. Chapman, and M. Rimmer, The case for the plain packaging of tobacco products. Addiction, 2008. 103(4): p. 580-90.</w:t>
      </w:r>
    </w:p>
  </w:footnote>
  <w:footnote w:id="149">
    <w:p w14:paraId="3EBAFF1F" w14:textId="506FDD2D" w:rsidR="007647B4" w:rsidRPr="00804E4F" w:rsidRDefault="007647B4" w:rsidP="00DC723F">
      <w:pPr>
        <w:rPr>
          <w:color w:val="000000" w:themeColor="text1"/>
          <w:sz w:val="16"/>
          <w:szCs w:val="16"/>
        </w:rPr>
      </w:pPr>
      <w:r w:rsidRPr="00804E4F">
        <w:rPr>
          <w:rStyle w:val="FootnoteReference"/>
          <w:sz w:val="16"/>
          <w:szCs w:val="16"/>
        </w:rPr>
        <w:footnoteRef/>
      </w:r>
      <w:r w:rsidRPr="00804E4F">
        <w:rPr>
          <w:sz w:val="16"/>
          <w:szCs w:val="16"/>
        </w:rPr>
        <w:t xml:space="preserve"> </w:t>
      </w:r>
      <w:r w:rsidRPr="00804E4F">
        <w:rPr>
          <w:color w:val="000000" w:themeColor="text1"/>
          <w:sz w:val="16"/>
          <w:szCs w:val="16"/>
        </w:rPr>
        <w:t>Hammond, D., Standardized Packaging of Tobacco Products: Evidence Review. 2014, Prepared on behalf of the Irish Department of Health.</w:t>
      </w:r>
    </w:p>
  </w:footnote>
  <w:footnote w:id="150">
    <w:p w14:paraId="7113AF65" w14:textId="6EEC649E" w:rsidR="007647B4" w:rsidRPr="00804E4F" w:rsidRDefault="007647B4">
      <w:pPr>
        <w:pStyle w:val="FootnoteText"/>
        <w:rPr>
          <w:sz w:val="16"/>
          <w:szCs w:val="16"/>
        </w:rPr>
      </w:pPr>
      <w:r w:rsidRPr="00804E4F">
        <w:rPr>
          <w:rStyle w:val="FootnoteReference"/>
          <w:sz w:val="16"/>
          <w:szCs w:val="16"/>
        </w:rPr>
        <w:footnoteRef/>
      </w:r>
      <w:r w:rsidRPr="00804E4F">
        <w:rPr>
          <w:sz w:val="16"/>
          <w:szCs w:val="16"/>
        </w:rPr>
        <w:t xml:space="preserve"> </w:t>
      </w:r>
      <w:r w:rsidRPr="00804E4F">
        <w:rPr>
          <w:color w:val="000000" w:themeColor="text1"/>
          <w:sz w:val="16"/>
          <w:szCs w:val="16"/>
        </w:rPr>
        <w:t>Tobacco Labelling Resource Centre. Plain Packaging. 2017 [cited 2017 August 23, 2017]; Available from: http://www.tobaccolabels.ca/plain-packaging/.</w:t>
      </w:r>
    </w:p>
  </w:footnote>
  <w:footnote w:id="151">
    <w:p w14:paraId="6E5AD8E1" w14:textId="2BDDDA7B" w:rsidR="007647B4" w:rsidRPr="00804E4F" w:rsidRDefault="007647B4">
      <w:pPr>
        <w:pStyle w:val="FootnoteText"/>
        <w:rPr>
          <w:sz w:val="16"/>
          <w:szCs w:val="16"/>
        </w:rPr>
      </w:pPr>
      <w:r w:rsidRPr="00804E4F">
        <w:rPr>
          <w:rStyle w:val="FootnoteReference"/>
          <w:sz w:val="16"/>
          <w:szCs w:val="16"/>
        </w:rPr>
        <w:footnoteRef/>
      </w:r>
      <w:r w:rsidRPr="00804E4F">
        <w:rPr>
          <w:color w:val="000000" w:themeColor="text1"/>
          <w:sz w:val="16"/>
          <w:szCs w:val="16"/>
        </w:rPr>
        <w:t xml:space="preserve"> </w:t>
      </w:r>
      <w:proofErr w:type="spellStart"/>
      <w:r w:rsidRPr="00804E4F">
        <w:rPr>
          <w:color w:val="000000" w:themeColor="text1"/>
          <w:sz w:val="16"/>
          <w:szCs w:val="16"/>
        </w:rPr>
        <w:t>Balmford</w:t>
      </w:r>
      <w:proofErr w:type="spellEnd"/>
      <w:r w:rsidRPr="00804E4F">
        <w:rPr>
          <w:color w:val="000000" w:themeColor="text1"/>
          <w:sz w:val="16"/>
          <w:szCs w:val="16"/>
        </w:rPr>
        <w:t>, J., R. Borland, and H.H. Yong, Impact of the introduction of standardised packaging on smokers' brand awareness and identification in Australia. Drug Alcohol Rev, 2015.</w:t>
      </w:r>
    </w:p>
  </w:footnote>
  <w:footnote w:id="152">
    <w:p w14:paraId="216D458B" w14:textId="3C0252D6" w:rsidR="007647B4" w:rsidRPr="00804E4F" w:rsidRDefault="007647B4" w:rsidP="00DC723F">
      <w:pPr>
        <w:rPr>
          <w:color w:val="000000" w:themeColor="text1"/>
          <w:sz w:val="16"/>
          <w:szCs w:val="16"/>
        </w:rPr>
      </w:pPr>
      <w:r w:rsidRPr="00804E4F">
        <w:rPr>
          <w:rStyle w:val="FootnoteReference"/>
          <w:sz w:val="16"/>
          <w:szCs w:val="16"/>
        </w:rPr>
        <w:footnoteRef/>
      </w:r>
      <w:r w:rsidRPr="00804E4F">
        <w:rPr>
          <w:sz w:val="16"/>
          <w:szCs w:val="16"/>
        </w:rPr>
        <w:t xml:space="preserve"> </w:t>
      </w:r>
      <w:r w:rsidRPr="00804E4F">
        <w:rPr>
          <w:color w:val="000000" w:themeColor="text1"/>
          <w:sz w:val="16"/>
          <w:szCs w:val="16"/>
        </w:rPr>
        <w:t xml:space="preserve">Germain, D., M.A. Wakefield, and S.J. Durkin, Adolescents' perceptions of cigarette brand image: does plain packaging make a difference? J Adolesc Health, 2010. 46(4): p. 385-92. </w:t>
      </w:r>
    </w:p>
  </w:footnote>
  <w:footnote w:id="153">
    <w:p w14:paraId="7AC9CE83" w14:textId="0B772F3D" w:rsidR="007647B4" w:rsidRPr="00804E4F" w:rsidRDefault="007647B4">
      <w:pPr>
        <w:pStyle w:val="FootnoteText"/>
        <w:rPr>
          <w:sz w:val="16"/>
          <w:szCs w:val="16"/>
        </w:rPr>
      </w:pPr>
      <w:r w:rsidRPr="00804E4F">
        <w:rPr>
          <w:rStyle w:val="FootnoteReference"/>
          <w:sz w:val="16"/>
          <w:szCs w:val="16"/>
        </w:rPr>
        <w:footnoteRef/>
      </w:r>
      <w:r w:rsidRPr="00804E4F">
        <w:rPr>
          <w:sz w:val="16"/>
          <w:szCs w:val="16"/>
        </w:rPr>
        <w:t xml:space="preserve"> </w:t>
      </w:r>
      <w:r w:rsidRPr="00804E4F">
        <w:rPr>
          <w:color w:val="000000" w:themeColor="text1"/>
          <w:sz w:val="16"/>
          <w:szCs w:val="16"/>
        </w:rPr>
        <w:t>Lund, I. and J. Scheffels, Young smokers and non-smokers perceptions of typical users of plain vs. branded cigarette packs: a between-subjects experimental survey. BMC Public Health, 2013. 13: p. 1005.</w:t>
      </w:r>
    </w:p>
  </w:footnote>
  <w:footnote w:id="154">
    <w:p w14:paraId="720EE40E" w14:textId="616798D5" w:rsidR="007647B4" w:rsidRPr="00804E4F" w:rsidRDefault="007647B4" w:rsidP="00DC723F">
      <w:pPr>
        <w:rPr>
          <w:color w:val="000000" w:themeColor="text1"/>
          <w:sz w:val="16"/>
          <w:szCs w:val="16"/>
        </w:rPr>
      </w:pPr>
      <w:r w:rsidRPr="00804E4F">
        <w:rPr>
          <w:rStyle w:val="FootnoteReference"/>
          <w:sz w:val="16"/>
          <w:szCs w:val="16"/>
        </w:rPr>
        <w:footnoteRef/>
      </w:r>
      <w:r w:rsidRPr="00804E4F">
        <w:rPr>
          <w:sz w:val="16"/>
          <w:szCs w:val="16"/>
        </w:rPr>
        <w:t xml:space="preserve"> </w:t>
      </w:r>
      <w:r w:rsidRPr="00804E4F">
        <w:rPr>
          <w:color w:val="000000" w:themeColor="text1"/>
          <w:sz w:val="16"/>
          <w:szCs w:val="16"/>
        </w:rPr>
        <w:t xml:space="preserve">Moodie, C., et al., Young adult smokers' perceptions of plain packaging: a pilot naturalistic study. Tob Control, 2011. 20(5): p. 367-73. </w:t>
      </w:r>
    </w:p>
  </w:footnote>
  <w:footnote w:id="155">
    <w:p w14:paraId="515E85A1" w14:textId="460466B2" w:rsidR="007647B4" w:rsidRPr="00804E4F" w:rsidRDefault="007647B4">
      <w:pPr>
        <w:pStyle w:val="FootnoteText"/>
        <w:rPr>
          <w:sz w:val="16"/>
          <w:szCs w:val="16"/>
        </w:rPr>
      </w:pPr>
      <w:r w:rsidRPr="00804E4F">
        <w:rPr>
          <w:rStyle w:val="FootnoteReference"/>
          <w:sz w:val="16"/>
          <w:szCs w:val="16"/>
        </w:rPr>
        <w:footnoteRef/>
      </w:r>
      <w:r w:rsidRPr="00804E4F">
        <w:rPr>
          <w:sz w:val="16"/>
          <w:szCs w:val="16"/>
        </w:rPr>
        <w:t xml:space="preserve"> </w:t>
      </w:r>
      <w:r w:rsidRPr="00804E4F">
        <w:rPr>
          <w:color w:val="000000" w:themeColor="text1"/>
          <w:sz w:val="16"/>
          <w:szCs w:val="16"/>
        </w:rPr>
        <w:t>White, V., T. Williams, and M. Wakefield, Has the introduction of plain packaging with larger graphic health warnings changed adolescents' perceptions of cigarette packs and brands? Tob Control, 2015. 24(Suppl 2): p. ii42-ii49.</w:t>
      </w:r>
    </w:p>
  </w:footnote>
  <w:footnote w:id="156">
    <w:p w14:paraId="660347BF" w14:textId="269BE2A3" w:rsidR="007647B4" w:rsidRPr="00804E4F" w:rsidRDefault="007647B4">
      <w:pPr>
        <w:pStyle w:val="FootnoteText"/>
        <w:rPr>
          <w:sz w:val="16"/>
          <w:szCs w:val="16"/>
        </w:rPr>
      </w:pPr>
      <w:r w:rsidRPr="00804E4F">
        <w:rPr>
          <w:rStyle w:val="FootnoteReference"/>
          <w:sz w:val="16"/>
          <w:szCs w:val="16"/>
        </w:rPr>
        <w:footnoteRef/>
      </w:r>
      <w:r w:rsidRPr="00804E4F">
        <w:rPr>
          <w:sz w:val="16"/>
          <w:szCs w:val="16"/>
        </w:rPr>
        <w:t xml:space="preserve"> Surgeon General</w:t>
      </w:r>
    </w:p>
  </w:footnote>
  <w:footnote w:id="157">
    <w:p w14:paraId="47FD700C" w14:textId="651AC8CE" w:rsidR="007647B4" w:rsidRPr="00804E4F" w:rsidRDefault="007647B4" w:rsidP="00DC723F">
      <w:pPr>
        <w:rPr>
          <w:color w:val="000000" w:themeColor="text1"/>
          <w:sz w:val="16"/>
          <w:szCs w:val="16"/>
        </w:rPr>
      </w:pPr>
      <w:r w:rsidRPr="00804E4F">
        <w:rPr>
          <w:rStyle w:val="FootnoteReference"/>
          <w:sz w:val="16"/>
          <w:szCs w:val="16"/>
        </w:rPr>
        <w:footnoteRef/>
      </w:r>
      <w:r w:rsidRPr="00804E4F">
        <w:rPr>
          <w:sz w:val="16"/>
          <w:szCs w:val="16"/>
        </w:rPr>
        <w:t xml:space="preserve"> </w:t>
      </w:r>
      <w:r w:rsidRPr="00804E4F">
        <w:rPr>
          <w:color w:val="000000" w:themeColor="text1"/>
          <w:sz w:val="16"/>
          <w:szCs w:val="16"/>
        </w:rPr>
        <w:t xml:space="preserve">Beede, P. and R. Lawson, The effect of plain packages on the perception of cigarette health warnings. Public Health, 1992. 106(4): p. 315-22. </w:t>
      </w:r>
    </w:p>
  </w:footnote>
  <w:footnote w:id="158">
    <w:p w14:paraId="5EA69964" w14:textId="58BCC378" w:rsidR="007647B4" w:rsidRPr="00804E4F" w:rsidRDefault="007647B4" w:rsidP="00DC723F">
      <w:pPr>
        <w:rPr>
          <w:color w:val="000000" w:themeColor="text1"/>
          <w:sz w:val="16"/>
          <w:szCs w:val="16"/>
        </w:rPr>
      </w:pPr>
      <w:r w:rsidRPr="00804E4F">
        <w:rPr>
          <w:rStyle w:val="FootnoteReference"/>
          <w:sz w:val="16"/>
          <w:szCs w:val="16"/>
        </w:rPr>
        <w:footnoteRef/>
      </w:r>
      <w:r w:rsidRPr="00804E4F">
        <w:rPr>
          <w:sz w:val="16"/>
          <w:szCs w:val="16"/>
        </w:rPr>
        <w:t xml:space="preserve"> </w:t>
      </w:r>
      <w:r w:rsidRPr="00804E4F">
        <w:rPr>
          <w:color w:val="000000" w:themeColor="text1"/>
          <w:sz w:val="16"/>
          <w:szCs w:val="16"/>
        </w:rPr>
        <w:t xml:space="preserve">Wakefield, M., et al., Australian adult smokers' responses to plain packaging with larger graphic health warnings 1 year after implementation: results from a national cross-sectional tracking survey. Tob Control, 2015. 24(Suppl 2): p. ii17- ii25. </w:t>
      </w:r>
    </w:p>
  </w:footnote>
  <w:footnote w:id="159">
    <w:p w14:paraId="6656C1E6" w14:textId="430566F2" w:rsidR="007647B4" w:rsidRPr="00804E4F" w:rsidRDefault="007647B4">
      <w:pPr>
        <w:pStyle w:val="FootnoteText"/>
        <w:rPr>
          <w:sz w:val="16"/>
          <w:szCs w:val="16"/>
        </w:rPr>
      </w:pPr>
      <w:r w:rsidRPr="00804E4F">
        <w:rPr>
          <w:rStyle w:val="FootnoteReference"/>
          <w:sz w:val="16"/>
          <w:szCs w:val="16"/>
        </w:rPr>
        <w:footnoteRef/>
      </w:r>
      <w:r w:rsidRPr="00804E4F">
        <w:rPr>
          <w:sz w:val="16"/>
          <w:szCs w:val="16"/>
        </w:rPr>
        <w:t xml:space="preserve"> </w:t>
      </w:r>
      <w:r w:rsidRPr="00804E4F">
        <w:rPr>
          <w:color w:val="000000" w:themeColor="text1"/>
          <w:sz w:val="16"/>
          <w:szCs w:val="16"/>
        </w:rPr>
        <w:t>White, V., T. Williams, and M. Wakefield, Has the introduction of plain packaging with larger graphic health warnings changed adolescents' perceptions of cigarette packs and brands? Tob Control, 2015. 24(Suppl 2): p. ii42-ii49.</w:t>
      </w:r>
    </w:p>
  </w:footnote>
  <w:footnote w:id="160">
    <w:p w14:paraId="6FDC5BAD" w14:textId="04003CF4" w:rsidR="007647B4" w:rsidRPr="00804E4F" w:rsidRDefault="007647B4">
      <w:pPr>
        <w:pStyle w:val="FootnoteText"/>
      </w:pPr>
      <w:r w:rsidRPr="00804E4F">
        <w:rPr>
          <w:rStyle w:val="FootnoteReference"/>
          <w:sz w:val="16"/>
          <w:szCs w:val="16"/>
        </w:rPr>
        <w:footnoteRef/>
      </w:r>
      <w:r w:rsidRPr="00804E4F">
        <w:rPr>
          <w:sz w:val="16"/>
          <w:szCs w:val="16"/>
        </w:rPr>
        <w:t xml:space="preserve"> </w:t>
      </w:r>
      <w:r w:rsidRPr="00804E4F">
        <w:rPr>
          <w:color w:val="000000" w:themeColor="text1"/>
          <w:sz w:val="16"/>
          <w:szCs w:val="16"/>
        </w:rPr>
        <w:t>Wakefield, M., et al., Australian adult smokers' responses to plain packaging with larger graphic health warnings 1 year after implementation: results from a national cross-sectional tracking survey. Tob Control, 2015. 24(Suppl 2): p. ii17- ii25.</w:t>
      </w:r>
    </w:p>
  </w:footnote>
  <w:footnote w:id="161">
    <w:p w14:paraId="26644ED8" w14:textId="461C61F2" w:rsidR="007647B4" w:rsidRPr="00804E4F" w:rsidRDefault="007647B4">
      <w:pPr>
        <w:pStyle w:val="FootnoteText"/>
        <w:rPr>
          <w:rFonts w:cs="Arial"/>
          <w:sz w:val="16"/>
          <w:szCs w:val="16"/>
        </w:rPr>
      </w:pPr>
      <w:r w:rsidRPr="00804E4F">
        <w:rPr>
          <w:rStyle w:val="FootnoteReference"/>
          <w:rFonts w:cs="Arial"/>
          <w:sz w:val="16"/>
          <w:szCs w:val="16"/>
        </w:rPr>
        <w:footnoteRef/>
      </w:r>
      <w:r w:rsidRPr="00804E4F">
        <w:rPr>
          <w:rFonts w:cs="Arial"/>
          <w:sz w:val="16"/>
          <w:szCs w:val="16"/>
        </w:rPr>
        <w:t xml:space="preserve"> </w:t>
      </w:r>
      <w:r w:rsidRPr="00804E4F">
        <w:rPr>
          <w:rFonts w:cs="Arial"/>
          <w:color w:val="000000" w:themeColor="text1"/>
          <w:sz w:val="16"/>
          <w:szCs w:val="16"/>
        </w:rPr>
        <w:t>Brennan, E., et al., Mass media campaigns designed to support new pictorial health warnings on cigarette packets: evidence of a complementary relationship. Tob Control, 2011. 20(6): p. 412-8.</w:t>
      </w:r>
    </w:p>
  </w:footnote>
  <w:footnote w:id="162">
    <w:p w14:paraId="56292EF4" w14:textId="783B2CA0" w:rsidR="007647B4" w:rsidRPr="00804E4F" w:rsidRDefault="007647B4">
      <w:pPr>
        <w:pStyle w:val="FootnoteText"/>
        <w:rPr>
          <w:rFonts w:cs="Arial"/>
          <w:sz w:val="16"/>
          <w:szCs w:val="16"/>
        </w:rPr>
      </w:pPr>
      <w:r w:rsidRPr="00804E4F">
        <w:rPr>
          <w:rStyle w:val="FootnoteReference"/>
          <w:rFonts w:cs="Arial"/>
          <w:sz w:val="16"/>
          <w:szCs w:val="16"/>
        </w:rPr>
        <w:footnoteRef/>
      </w:r>
      <w:r w:rsidRPr="00804E4F">
        <w:rPr>
          <w:rFonts w:cs="Arial"/>
          <w:color w:val="000000" w:themeColor="text1"/>
          <w:sz w:val="16"/>
          <w:szCs w:val="16"/>
        </w:rPr>
        <w:t>McCool, J., et al., Graphic warning labels on plain cigarette packs: will they make a difference to adolescents? Soc Sci Med, 2012. 74(8): p. 1269-73.</w:t>
      </w:r>
    </w:p>
  </w:footnote>
  <w:footnote w:id="163">
    <w:p w14:paraId="3FF12226" w14:textId="48C4C50B" w:rsidR="007647B4" w:rsidRPr="00804E4F" w:rsidRDefault="007647B4" w:rsidP="00304DEA">
      <w:pPr>
        <w:rPr>
          <w:rFonts w:cs="Arial"/>
          <w:color w:val="000000" w:themeColor="text1"/>
          <w:sz w:val="16"/>
          <w:szCs w:val="16"/>
        </w:rPr>
      </w:pPr>
      <w:r w:rsidRPr="00804E4F">
        <w:rPr>
          <w:rStyle w:val="FootnoteReference"/>
          <w:rFonts w:cs="Arial"/>
          <w:sz w:val="16"/>
          <w:szCs w:val="16"/>
        </w:rPr>
        <w:footnoteRef/>
      </w:r>
      <w:r w:rsidRPr="00804E4F">
        <w:rPr>
          <w:rFonts w:cs="Arial"/>
          <w:sz w:val="16"/>
          <w:szCs w:val="16"/>
        </w:rPr>
        <w:t xml:space="preserve"> </w:t>
      </w:r>
      <w:r w:rsidRPr="00804E4F">
        <w:rPr>
          <w:rFonts w:cs="Arial"/>
          <w:color w:val="000000" w:themeColor="text1"/>
          <w:sz w:val="16"/>
          <w:szCs w:val="16"/>
        </w:rPr>
        <w:t xml:space="preserve">Oregon Liquor Control Commission, Packaging and Labeling Guide for Medical and Recreational Marijuana - Version 3.0. 2017. </w:t>
      </w:r>
    </w:p>
  </w:footnote>
  <w:footnote w:id="164">
    <w:p w14:paraId="106E801D" w14:textId="2CDEC359" w:rsidR="007647B4" w:rsidRPr="00804E4F" w:rsidRDefault="007647B4">
      <w:pPr>
        <w:pStyle w:val="FootnoteText"/>
        <w:rPr>
          <w:rFonts w:cs="Arial"/>
          <w:sz w:val="16"/>
          <w:szCs w:val="16"/>
        </w:rPr>
      </w:pPr>
      <w:r w:rsidRPr="00804E4F">
        <w:rPr>
          <w:rStyle w:val="FootnoteReference"/>
          <w:rFonts w:cs="Arial"/>
          <w:sz w:val="16"/>
          <w:szCs w:val="16"/>
        </w:rPr>
        <w:footnoteRef/>
      </w:r>
      <w:r w:rsidRPr="00804E4F">
        <w:rPr>
          <w:rFonts w:cs="Arial"/>
          <w:sz w:val="16"/>
          <w:szCs w:val="16"/>
        </w:rPr>
        <w:t xml:space="preserve"> </w:t>
      </w:r>
      <w:r w:rsidRPr="00804E4F">
        <w:rPr>
          <w:rFonts w:cs="Arial"/>
          <w:color w:val="000000" w:themeColor="text1"/>
          <w:sz w:val="16"/>
          <w:szCs w:val="16"/>
        </w:rPr>
        <w:t>Oregon Liquor Control Commission, Recreational Marijuana Program: Packaging and Labeling. 2017</w:t>
      </w:r>
    </w:p>
  </w:footnote>
  <w:footnote w:id="165">
    <w:p w14:paraId="008AE746" w14:textId="61F89463" w:rsidR="007647B4" w:rsidRPr="00DC1245" w:rsidRDefault="007647B4" w:rsidP="00304DEA">
      <w:pPr>
        <w:rPr>
          <w:rFonts w:ascii="Arial" w:hAnsi="Arial" w:cs="Arial"/>
          <w:color w:val="000000" w:themeColor="text1"/>
          <w:sz w:val="16"/>
          <w:szCs w:val="16"/>
        </w:rPr>
      </w:pPr>
      <w:r w:rsidRPr="00804E4F">
        <w:rPr>
          <w:rStyle w:val="FootnoteReference"/>
          <w:rFonts w:cs="Arial"/>
          <w:sz w:val="16"/>
          <w:szCs w:val="16"/>
        </w:rPr>
        <w:footnoteRef/>
      </w:r>
      <w:r w:rsidRPr="00804E4F">
        <w:rPr>
          <w:rFonts w:cs="Arial"/>
          <w:sz w:val="16"/>
          <w:szCs w:val="16"/>
        </w:rPr>
        <w:t xml:space="preserve"> </w:t>
      </w:r>
      <w:r w:rsidRPr="00804E4F">
        <w:rPr>
          <w:rFonts w:cs="Arial"/>
          <w:color w:val="000000" w:themeColor="text1"/>
          <w:sz w:val="16"/>
          <w:szCs w:val="16"/>
        </w:rPr>
        <w:t>Miroff, N., In Uruguay's marijuana experiment, the government is your pot dealer, in Washington Post. 2017.</w:t>
      </w:r>
      <w:r w:rsidRPr="00DC1245">
        <w:rPr>
          <w:rFonts w:ascii="Arial" w:hAnsi="Arial" w:cs="Arial"/>
          <w:color w:val="000000" w:themeColor="text1"/>
          <w:sz w:val="16"/>
          <w:szCs w:val="16"/>
        </w:rPr>
        <w:t xml:space="preserve"> </w:t>
      </w:r>
    </w:p>
  </w:footnote>
  <w:footnote w:id="166">
    <w:p w14:paraId="53BC2265" w14:textId="03E120C1" w:rsidR="007647B4" w:rsidRPr="00804E4F" w:rsidRDefault="007647B4" w:rsidP="00304DEA">
      <w:pPr>
        <w:rPr>
          <w:rFonts w:cs="Arial"/>
          <w:color w:val="000000" w:themeColor="text1"/>
          <w:sz w:val="16"/>
          <w:szCs w:val="16"/>
        </w:rPr>
      </w:pPr>
      <w:r w:rsidRPr="00804E4F">
        <w:rPr>
          <w:rStyle w:val="FootnoteReference"/>
          <w:rFonts w:cs="Arial"/>
          <w:sz w:val="16"/>
          <w:szCs w:val="16"/>
        </w:rPr>
        <w:footnoteRef/>
      </w:r>
      <w:r w:rsidRPr="00804E4F">
        <w:rPr>
          <w:rFonts w:cs="Arial"/>
          <w:sz w:val="16"/>
          <w:szCs w:val="16"/>
        </w:rPr>
        <w:t xml:space="preserve"> </w:t>
      </w:r>
      <w:r w:rsidRPr="00804E4F">
        <w:rPr>
          <w:rFonts w:cs="Arial"/>
          <w:color w:val="000000" w:themeColor="text1"/>
          <w:sz w:val="16"/>
          <w:szCs w:val="16"/>
        </w:rPr>
        <w:t xml:space="preserve">California Department of Public Health, DPH-17-004: Medical Cannabis Manufacturing: Initial Statement of Reasons. 2017: </w:t>
      </w:r>
      <w:hyperlink r:id="rId30" w:history="1">
        <w:r w:rsidRPr="00804E4F">
          <w:rPr>
            <w:rStyle w:val="Hyperlink"/>
            <w:rFonts w:cs="Arial"/>
            <w:color w:val="000000" w:themeColor="text1"/>
            <w:sz w:val="16"/>
            <w:szCs w:val="16"/>
          </w:rPr>
          <w:t>https://www.cdph.ca.gov/Documents/OMCS_ISOR_DPH-17-004.pdf</w:t>
        </w:r>
      </w:hyperlink>
      <w:r w:rsidRPr="00804E4F">
        <w:rPr>
          <w:rFonts w:cs="Arial"/>
          <w:color w:val="000000" w:themeColor="text1"/>
          <w:sz w:val="16"/>
          <w:szCs w:val="16"/>
        </w:rPr>
        <w:t xml:space="preserve">. </w:t>
      </w:r>
    </w:p>
  </w:footnote>
  <w:footnote w:id="167">
    <w:p w14:paraId="14CBEF77" w14:textId="68BBAC18" w:rsidR="007647B4" w:rsidRPr="00804E4F" w:rsidRDefault="007647B4" w:rsidP="00304DEA">
      <w:pPr>
        <w:rPr>
          <w:color w:val="000000" w:themeColor="text1"/>
          <w:sz w:val="16"/>
          <w:szCs w:val="16"/>
        </w:rPr>
      </w:pPr>
      <w:r w:rsidRPr="00804E4F">
        <w:rPr>
          <w:rStyle w:val="FootnoteReference"/>
          <w:rFonts w:cs="Arial"/>
          <w:sz w:val="16"/>
          <w:szCs w:val="16"/>
        </w:rPr>
        <w:footnoteRef/>
      </w:r>
      <w:r w:rsidRPr="00804E4F">
        <w:rPr>
          <w:rFonts w:cs="Arial"/>
          <w:sz w:val="16"/>
          <w:szCs w:val="16"/>
        </w:rPr>
        <w:t xml:space="preserve"> </w:t>
      </w:r>
      <w:proofErr w:type="spellStart"/>
      <w:r w:rsidRPr="00804E4F">
        <w:rPr>
          <w:rFonts w:cs="Arial"/>
          <w:color w:val="000000" w:themeColor="text1"/>
          <w:sz w:val="16"/>
          <w:szCs w:val="16"/>
        </w:rPr>
        <w:t>Raber</w:t>
      </w:r>
      <w:proofErr w:type="spellEnd"/>
      <w:r w:rsidRPr="00804E4F">
        <w:rPr>
          <w:rFonts w:cs="Arial"/>
          <w:color w:val="000000" w:themeColor="text1"/>
          <w:sz w:val="16"/>
          <w:szCs w:val="16"/>
        </w:rPr>
        <w:t xml:space="preserve">, J.C., S. Elzinga, and C. Kaplan, </w:t>
      </w:r>
      <w:proofErr w:type="gramStart"/>
      <w:r w:rsidRPr="00804E4F">
        <w:rPr>
          <w:rFonts w:cs="Arial"/>
          <w:color w:val="000000" w:themeColor="text1"/>
          <w:sz w:val="16"/>
          <w:szCs w:val="16"/>
        </w:rPr>
        <w:t>Understanding</w:t>
      </w:r>
      <w:proofErr w:type="gramEnd"/>
      <w:r w:rsidRPr="00804E4F">
        <w:rPr>
          <w:rFonts w:cs="Arial"/>
          <w:color w:val="000000" w:themeColor="text1"/>
          <w:sz w:val="16"/>
          <w:szCs w:val="16"/>
        </w:rPr>
        <w:t xml:space="preserve"> dabs: contamination concerns of cannabis concentrates and cannabinoid transfer during the act of dabbing. J Toxicol Sci, 2015. 40(6): p. 797-803.</w:t>
      </w:r>
    </w:p>
  </w:footnote>
  <w:footnote w:id="168">
    <w:p w14:paraId="662D6100" w14:textId="660A6E2F" w:rsidR="007647B4" w:rsidRPr="00804E4F" w:rsidRDefault="007647B4" w:rsidP="00304DEA">
      <w:pPr>
        <w:rPr>
          <w:color w:val="000000" w:themeColor="text1"/>
          <w:sz w:val="16"/>
          <w:szCs w:val="16"/>
        </w:rPr>
      </w:pPr>
      <w:r w:rsidRPr="00804E4F">
        <w:rPr>
          <w:rStyle w:val="FootnoteReference"/>
          <w:sz w:val="16"/>
          <w:szCs w:val="16"/>
        </w:rPr>
        <w:footnoteRef/>
      </w:r>
      <w:r w:rsidRPr="00804E4F">
        <w:rPr>
          <w:sz w:val="16"/>
          <w:szCs w:val="16"/>
        </w:rPr>
        <w:t xml:space="preserve"> </w:t>
      </w:r>
      <w:r w:rsidRPr="00804E4F">
        <w:rPr>
          <w:color w:val="000000" w:themeColor="text1"/>
          <w:sz w:val="16"/>
          <w:szCs w:val="16"/>
        </w:rPr>
        <w:t xml:space="preserve">Miller, B.L., J.M. Stogner, and J.M. Miller, Exploring Butane Hash Oil Use: A Research Note. J Psychoactive Drugs, 2016. 48(1): p. 44-9. </w:t>
      </w:r>
    </w:p>
  </w:footnote>
  <w:footnote w:id="169">
    <w:p w14:paraId="444E50A6" w14:textId="3C56FEC2" w:rsidR="007647B4" w:rsidRPr="007647B4" w:rsidRDefault="007647B4">
      <w:pPr>
        <w:pStyle w:val="FootnoteText"/>
        <w:rPr>
          <w:sz w:val="16"/>
          <w:szCs w:val="16"/>
        </w:rPr>
      </w:pPr>
      <w:r w:rsidRPr="007647B4">
        <w:rPr>
          <w:rStyle w:val="FootnoteReference"/>
          <w:sz w:val="16"/>
          <w:szCs w:val="16"/>
        </w:rPr>
        <w:footnoteRef/>
      </w:r>
      <w:r w:rsidRPr="007647B4">
        <w:rPr>
          <w:sz w:val="16"/>
          <w:szCs w:val="16"/>
        </w:rPr>
        <w:t xml:space="preserve"> </w:t>
      </w:r>
      <w:proofErr w:type="spellStart"/>
      <w:r w:rsidRPr="007647B4">
        <w:rPr>
          <w:sz w:val="16"/>
          <w:szCs w:val="16"/>
        </w:rPr>
        <w:t>Loflin</w:t>
      </w:r>
      <w:proofErr w:type="spellEnd"/>
      <w:r w:rsidRPr="007647B4">
        <w:rPr>
          <w:sz w:val="16"/>
          <w:szCs w:val="16"/>
        </w:rPr>
        <w:t xml:space="preserve">, M. and M. </w:t>
      </w:r>
      <w:proofErr w:type="spellStart"/>
      <w:r w:rsidRPr="007647B4">
        <w:rPr>
          <w:sz w:val="16"/>
          <w:szCs w:val="16"/>
        </w:rPr>
        <w:t>Earleywine</w:t>
      </w:r>
      <w:proofErr w:type="spellEnd"/>
      <w:r w:rsidRPr="007647B4">
        <w:rPr>
          <w:sz w:val="16"/>
          <w:szCs w:val="16"/>
        </w:rPr>
        <w:t xml:space="preserve">, A new method of cannabis ingestion: the dangers of dabs? Addict </w:t>
      </w:r>
      <w:proofErr w:type="spellStart"/>
      <w:r w:rsidRPr="007647B4">
        <w:rPr>
          <w:sz w:val="16"/>
          <w:szCs w:val="16"/>
        </w:rPr>
        <w:t>Behav</w:t>
      </w:r>
      <w:proofErr w:type="spellEnd"/>
      <w:r w:rsidRPr="007647B4">
        <w:rPr>
          <w:sz w:val="16"/>
          <w:szCs w:val="16"/>
        </w:rPr>
        <w:t>, 2014. 39(10): p. 1430-3</w:t>
      </w:r>
    </w:p>
  </w:footnote>
  <w:footnote w:id="170">
    <w:p w14:paraId="5E98B132" w14:textId="7B680C6A" w:rsidR="007647B4" w:rsidRPr="00804E4F" w:rsidRDefault="007647B4" w:rsidP="00304DEA">
      <w:pPr>
        <w:rPr>
          <w:color w:val="000000" w:themeColor="text1"/>
        </w:rPr>
      </w:pPr>
      <w:r w:rsidRPr="00804E4F">
        <w:rPr>
          <w:rStyle w:val="FootnoteReference"/>
          <w:sz w:val="16"/>
          <w:szCs w:val="16"/>
        </w:rPr>
        <w:footnoteRef/>
      </w:r>
      <w:r w:rsidRPr="00804E4F">
        <w:rPr>
          <w:sz w:val="16"/>
          <w:szCs w:val="16"/>
        </w:rPr>
        <w:t xml:space="preserve"> </w:t>
      </w:r>
      <w:r w:rsidRPr="00804E4F">
        <w:rPr>
          <w:color w:val="000000" w:themeColor="text1"/>
          <w:sz w:val="16"/>
          <w:szCs w:val="16"/>
        </w:rPr>
        <w:t>Pierre, J.M., M. Gandal, and M. Son, Cannabis-induced psychosis associated with high potency "wax dabs". Schizophr Res, 2016. 172(1-3): p. 211-2.</w:t>
      </w:r>
      <w:r w:rsidRPr="00804E4F">
        <w:rPr>
          <w:color w:val="000000" w:themeColor="text1"/>
        </w:rPr>
        <w:t xml:space="preserve"> </w:t>
      </w:r>
    </w:p>
  </w:footnote>
  <w:footnote w:id="171">
    <w:p w14:paraId="43802C60" w14:textId="77777777" w:rsidR="007647B4" w:rsidRPr="00804E4F" w:rsidRDefault="007647B4" w:rsidP="00304DEA">
      <w:pPr>
        <w:rPr>
          <w:rFonts w:cs="Arial"/>
          <w:color w:val="000000" w:themeColor="text1"/>
          <w:sz w:val="16"/>
          <w:szCs w:val="16"/>
        </w:rPr>
      </w:pPr>
      <w:r w:rsidRPr="00804E4F">
        <w:rPr>
          <w:rStyle w:val="FootnoteReference"/>
          <w:rFonts w:cs="Arial"/>
          <w:sz w:val="16"/>
          <w:szCs w:val="16"/>
        </w:rPr>
        <w:footnoteRef/>
      </w:r>
      <w:r w:rsidRPr="00804E4F">
        <w:rPr>
          <w:rFonts w:cs="Arial"/>
          <w:sz w:val="16"/>
          <w:szCs w:val="16"/>
        </w:rPr>
        <w:t xml:space="preserve"> </w:t>
      </w:r>
      <w:r w:rsidRPr="00804E4F">
        <w:rPr>
          <w:rFonts w:cs="Arial"/>
          <w:color w:val="000000" w:themeColor="text1"/>
          <w:sz w:val="16"/>
          <w:szCs w:val="16"/>
        </w:rPr>
        <w:t xml:space="preserve">Bhatnagar, A., E-Cigarettes and Cardiovascular Disease Risk: Evaluation of Evidence, Policy Implications, and Recommendations. Current </w:t>
      </w:r>
      <w:proofErr w:type="spellStart"/>
      <w:r w:rsidRPr="00804E4F">
        <w:rPr>
          <w:rFonts w:cs="Arial"/>
          <w:color w:val="000000" w:themeColor="text1"/>
          <w:sz w:val="16"/>
          <w:szCs w:val="16"/>
        </w:rPr>
        <w:t>Cardiovasuclar</w:t>
      </w:r>
      <w:proofErr w:type="spellEnd"/>
      <w:r w:rsidRPr="00804E4F">
        <w:rPr>
          <w:rFonts w:cs="Arial"/>
          <w:color w:val="000000" w:themeColor="text1"/>
          <w:sz w:val="16"/>
          <w:szCs w:val="16"/>
        </w:rPr>
        <w:t xml:space="preserve"> Risk Reports, 2016. 10(24): p. 1-10.</w:t>
      </w:r>
    </w:p>
  </w:footnote>
  <w:footnote w:id="172">
    <w:p w14:paraId="72838289" w14:textId="0598A3A4" w:rsidR="007647B4" w:rsidRPr="00804E4F" w:rsidRDefault="007647B4">
      <w:pPr>
        <w:pStyle w:val="FootnoteText"/>
        <w:rPr>
          <w:rFonts w:cs="Arial"/>
          <w:sz w:val="16"/>
          <w:szCs w:val="16"/>
        </w:rPr>
      </w:pPr>
      <w:r w:rsidRPr="00804E4F">
        <w:rPr>
          <w:rStyle w:val="FootnoteReference"/>
          <w:rFonts w:cs="Arial"/>
          <w:sz w:val="16"/>
          <w:szCs w:val="16"/>
        </w:rPr>
        <w:footnoteRef/>
      </w:r>
      <w:r w:rsidRPr="00804E4F">
        <w:rPr>
          <w:rFonts w:cs="Arial"/>
          <w:sz w:val="16"/>
          <w:szCs w:val="16"/>
        </w:rPr>
        <w:t xml:space="preserve"> </w:t>
      </w:r>
      <w:proofErr w:type="spellStart"/>
      <w:r w:rsidRPr="00804E4F">
        <w:rPr>
          <w:rFonts w:cs="Arial"/>
          <w:color w:val="000000" w:themeColor="text1"/>
          <w:sz w:val="16"/>
          <w:szCs w:val="16"/>
        </w:rPr>
        <w:t>Canistro</w:t>
      </w:r>
      <w:proofErr w:type="spellEnd"/>
      <w:r w:rsidRPr="00804E4F">
        <w:rPr>
          <w:rFonts w:cs="Arial"/>
          <w:color w:val="000000" w:themeColor="text1"/>
          <w:sz w:val="16"/>
          <w:szCs w:val="16"/>
        </w:rPr>
        <w:t>, D., et al., E-cigarettes induce toxicological effects that can raise the cancer risk. Sci Rep, 2017. 7(1): p. 2028.</w:t>
      </w:r>
    </w:p>
  </w:footnote>
  <w:footnote w:id="173">
    <w:p w14:paraId="28327E6B" w14:textId="6E950DB1" w:rsidR="007647B4" w:rsidRPr="00804E4F" w:rsidRDefault="007647B4" w:rsidP="00804E4F">
      <w:r w:rsidRPr="00804E4F">
        <w:rPr>
          <w:rStyle w:val="FootnoteReference"/>
          <w:rFonts w:cs="Arial"/>
          <w:sz w:val="16"/>
          <w:szCs w:val="16"/>
        </w:rPr>
        <w:footnoteRef/>
      </w:r>
      <w:r w:rsidRPr="00804E4F">
        <w:rPr>
          <w:rFonts w:cs="Arial"/>
          <w:sz w:val="16"/>
          <w:szCs w:val="16"/>
        </w:rPr>
        <w:t xml:space="preserve"> </w:t>
      </w:r>
      <w:r w:rsidRPr="00804E4F">
        <w:rPr>
          <w:rFonts w:cs="Arial"/>
          <w:color w:val="000000" w:themeColor="text1"/>
          <w:sz w:val="16"/>
          <w:szCs w:val="16"/>
        </w:rPr>
        <w:t xml:space="preserve">Chun, L.F., et al., Pulmonary toxicity of e-cigarettes. Am J Physiol Lung Cell Mol Physiol, 2017. 313(2): p. L193-L206. </w:t>
      </w:r>
    </w:p>
  </w:footnote>
  <w:footnote w:id="174">
    <w:p w14:paraId="4447EEA4" w14:textId="17630741" w:rsidR="007647B4" w:rsidRPr="00804E4F" w:rsidRDefault="007647B4">
      <w:pPr>
        <w:pStyle w:val="FootnoteText"/>
        <w:rPr>
          <w:rFonts w:cs="Arial"/>
          <w:sz w:val="16"/>
          <w:szCs w:val="16"/>
        </w:rPr>
      </w:pPr>
      <w:r w:rsidRPr="00804E4F">
        <w:rPr>
          <w:rStyle w:val="FootnoteReference"/>
          <w:rFonts w:cs="Arial"/>
          <w:sz w:val="16"/>
          <w:szCs w:val="16"/>
        </w:rPr>
        <w:footnoteRef/>
      </w:r>
      <w:r w:rsidRPr="00804E4F">
        <w:rPr>
          <w:rFonts w:cs="Arial"/>
          <w:sz w:val="16"/>
          <w:szCs w:val="16"/>
        </w:rPr>
        <w:t xml:space="preserve"> </w:t>
      </w:r>
      <w:r w:rsidRPr="00804E4F">
        <w:rPr>
          <w:rFonts w:cs="Arial"/>
          <w:color w:val="000000" w:themeColor="text1"/>
          <w:sz w:val="16"/>
          <w:szCs w:val="16"/>
        </w:rPr>
        <w:t>Abad-Santos, A., The Amateur's Guide to Dabs, The Atlantic. 2013.</w:t>
      </w:r>
    </w:p>
  </w:footnote>
  <w:footnote w:id="175">
    <w:p w14:paraId="25BE484B" w14:textId="3AA37CA1" w:rsidR="007647B4" w:rsidRPr="00804E4F" w:rsidRDefault="007647B4">
      <w:pPr>
        <w:pStyle w:val="FootnoteText"/>
        <w:rPr>
          <w:rFonts w:cs="Arial"/>
          <w:sz w:val="16"/>
          <w:szCs w:val="16"/>
        </w:rPr>
      </w:pPr>
      <w:r w:rsidRPr="00804E4F">
        <w:rPr>
          <w:rStyle w:val="FootnoteReference"/>
          <w:rFonts w:cs="Arial"/>
          <w:sz w:val="16"/>
          <w:szCs w:val="16"/>
        </w:rPr>
        <w:footnoteRef/>
      </w:r>
      <w:r w:rsidRPr="00804E4F">
        <w:rPr>
          <w:rFonts w:cs="Arial"/>
          <w:sz w:val="16"/>
          <w:szCs w:val="16"/>
        </w:rPr>
        <w:t xml:space="preserve"> </w:t>
      </w:r>
      <w:proofErr w:type="spellStart"/>
      <w:r w:rsidRPr="00804E4F">
        <w:rPr>
          <w:rFonts w:cs="Arial"/>
          <w:color w:val="000000" w:themeColor="text1"/>
          <w:sz w:val="16"/>
          <w:szCs w:val="16"/>
        </w:rPr>
        <w:t>Goncus</w:t>
      </w:r>
      <w:proofErr w:type="spellEnd"/>
      <w:r w:rsidRPr="00804E4F">
        <w:rPr>
          <w:rFonts w:cs="Arial"/>
          <w:color w:val="000000" w:themeColor="text1"/>
          <w:sz w:val="16"/>
          <w:szCs w:val="16"/>
        </w:rPr>
        <w:t>, B., Review: Pineapple Dream Concentrate Tropical Wax, in DOPE Magazine. 2016: Seattle, WA.</w:t>
      </w:r>
    </w:p>
  </w:footnote>
  <w:footnote w:id="176">
    <w:p w14:paraId="32ADD20F" w14:textId="311A8365" w:rsidR="007647B4" w:rsidRPr="00804E4F" w:rsidRDefault="007647B4" w:rsidP="00304DEA">
      <w:pPr>
        <w:rPr>
          <w:rFonts w:cs="Arial"/>
          <w:color w:val="000000" w:themeColor="text1"/>
          <w:sz w:val="16"/>
          <w:szCs w:val="16"/>
        </w:rPr>
      </w:pPr>
      <w:r w:rsidRPr="00804E4F">
        <w:rPr>
          <w:rStyle w:val="FootnoteReference"/>
          <w:rFonts w:cs="Arial"/>
          <w:sz w:val="16"/>
          <w:szCs w:val="16"/>
        </w:rPr>
        <w:footnoteRef/>
      </w:r>
      <w:r w:rsidRPr="00804E4F">
        <w:rPr>
          <w:rFonts w:cs="Arial"/>
          <w:sz w:val="16"/>
          <w:szCs w:val="16"/>
        </w:rPr>
        <w:t xml:space="preserve"> </w:t>
      </w:r>
      <w:proofErr w:type="spellStart"/>
      <w:r w:rsidRPr="00804E4F">
        <w:rPr>
          <w:rFonts w:cs="Arial"/>
          <w:color w:val="000000" w:themeColor="text1"/>
          <w:sz w:val="16"/>
          <w:szCs w:val="16"/>
        </w:rPr>
        <w:t>Silins</w:t>
      </w:r>
      <w:proofErr w:type="spellEnd"/>
      <w:r w:rsidRPr="00804E4F">
        <w:rPr>
          <w:rFonts w:cs="Arial"/>
          <w:color w:val="000000" w:themeColor="text1"/>
          <w:sz w:val="16"/>
          <w:szCs w:val="16"/>
        </w:rPr>
        <w:t xml:space="preserve"> E, Horwood LJ, Patton GC, Fergusson DM, Olsson CA, Hutchinson DM, Spry E, Toumbourou JW, Degenhardt L, Swift W, Coffey C, Tait RJ, Letcher P, Copeland J, Mattick RP; Cannabis Cohorts Research Consortium. Young adult sequelae of adolescent cannabis use: an integrative analysis. Lancet Psychiatry. 2014 Sep;1(4):286-93. doi: 10.1016/S2215-0366(14)70307-4. Epub 2014 Sep 10.</w:t>
      </w:r>
    </w:p>
  </w:footnote>
  <w:footnote w:id="177">
    <w:p w14:paraId="4B5AB16F" w14:textId="282455E3" w:rsidR="007647B4" w:rsidRPr="00804E4F" w:rsidRDefault="007647B4">
      <w:pPr>
        <w:pStyle w:val="FootnoteText"/>
        <w:rPr>
          <w:rFonts w:cs="Arial"/>
          <w:sz w:val="16"/>
          <w:szCs w:val="16"/>
        </w:rPr>
      </w:pPr>
      <w:r w:rsidRPr="00804E4F">
        <w:rPr>
          <w:rStyle w:val="FootnoteReference"/>
          <w:rFonts w:cs="Arial"/>
          <w:sz w:val="16"/>
          <w:szCs w:val="16"/>
        </w:rPr>
        <w:footnoteRef/>
      </w:r>
      <w:r w:rsidRPr="00804E4F">
        <w:rPr>
          <w:rFonts w:cs="Arial"/>
          <w:sz w:val="16"/>
          <w:szCs w:val="16"/>
        </w:rPr>
        <w:t xml:space="preserve"> </w:t>
      </w:r>
      <w:proofErr w:type="spellStart"/>
      <w:r w:rsidRPr="00804E4F">
        <w:rPr>
          <w:rFonts w:cs="Arial"/>
          <w:color w:val="000000" w:themeColor="text1"/>
          <w:sz w:val="16"/>
          <w:szCs w:val="16"/>
        </w:rPr>
        <w:t>Orens</w:t>
      </w:r>
      <w:proofErr w:type="spellEnd"/>
      <w:r w:rsidRPr="00804E4F">
        <w:rPr>
          <w:rFonts w:cs="Arial"/>
          <w:color w:val="000000" w:themeColor="text1"/>
          <w:sz w:val="16"/>
          <w:szCs w:val="16"/>
        </w:rPr>
        <w:t xml:space="preserve"> A, Light M, Rowberry J, Matsen J, Lewandowski B. Marijuana Equivalency in Portion and Dosage An assessment of physical and pharmacokinetic relationships in marijuana production and consumption in Colorado. Marijuana Policy Group. University of Colorado, Leeds School of Business, Business Research Division, Marijuana Policy Group, and BBC Research &amp; Consulting for the Colorado Department of Revenue August 10, 2015.</w:t>
      </w:r>
    </w:p>
  </w:footnote>
  <w:footnote w:id="178">
    <w:p w14:paraId="10EC4202" w14:textId="426FC57E" w:rsidR="007647B4" w:rsidRPr="00804E4F" w:rsidRDefault="007647B4" w:rsidP="00304DEA">
      <w:pPr>
        <w:rPr>
          <w:rFonts w:cs="Arial"/>
          <w:color w:val="000000" w:themeColor="text1"/>
          <w:sz w:val="16"/>
          <w:szCs w:val="16"/>
        </w:rPr>
      </w:pPr>
      <w:r w:rsidRPr="00804E4F">
        <w:rPr>
          <w:rStyle w:val="FootnoteReference"/>
          <w:rFonts w:cs="Arial"/>
          <w:sz w:val="16"/>
          <w:szCs w:val="16"/>
        </w:rPr>
        <w:footnoteRef/>
      </w:r>
      <w:r w:rsidRPr="00804E4F">
        <w:rPr>
          <w:rFonts w:cs="Arial"/>
          <w:sz w:val="16"/>
          <w:szCs w:val="16"/>
        </w:rPr>
        <w:t xml:space="preserve"> </w:t>
      </w:r>
      <w:r w:rsidRPr="00804E4F">
        <w:rPr>
          <w:rFonts w:cs="Arial"/>
          <w:color w:val="000000" w:themeColor="text1"/>
          <w:sz w:val="16"/>
          <w:szCs w:val="16"/>
        </w:rPr>
        <w:t xml:space="preserve">Mowry, J.B., et al., 2015 Annual Report of the American Association of Poison Control Centers’ National Poison Data System (NPDS): 33rd Annual Report. Clinical Toxicology, 2016. 54(10): p. 924-1109. </w:t>
      </w:r>
    </w:p>
  </w:footnote>
  <w:footnote w:id="179">
    <w:p w14:paraId="19414182" w14:textId="1135B87F" w:rsidR="007647B4" w:rsidRPr="00804E4F" w:rsidRDefault="007647B4" w:rsidP="00304DEA">
      <w:pPr>
        <w:rPr>
          <w:rFonts w:cs="Arial"/>
          <w:color w:val="000000" w:themeColor="text1"/>
          <w:sz w:val="16"/>
          <w:szCs w:val="16"/>
        </w:rPr>
      </w:pPr>
      <w:r w:rsidRPr="00804E4F">
        <w:rPr>
          <w:rStyle w:val="FootnoteReference"/>
          <w:rFonts w:cs="Arial"/>
          <w:sz w:val="16"/>
          <w:szCs w:val="16"/>
        </w:rPr>
        <w:footnoteRef/>
      </w:r>
      <w:r w:rsidRPr="00804E4F">
        <w:rPr>
          <w:rFonts w:cs="Arial"/>
          <w:sz w:val="16"/>
          <w:szCs w:val="16"/>
        </w:rPr>
        <w:t xml:space="preserve"> </w:t>
      </w:r>
      <w:r w:rsidRPr="00804E4F">
        <w:rPr>
          <w:rFonts w:cs="Arial"/>
          <w:color w:val="000000" w:themeColor="text1"/>
          <w:sz w:val="16"/>
          <w:szCs w:val="16"/>
        </w:rPr>
        <w:t xml:space="preserve">Leafly. Topicals. 2017 [cited 2017 August 31, 2017]; Available from: </w:t>
      </w:r>
      <w:hyperlink r:id="rId31" w:history="1">
        <w:r w:rsidRPr="00804E4F">
          <w:rPr>
            <w:rStyle w:val="Hyperlink"/>
            <w:rFonts w:cs="Arial"/>
            <w:color w:val="000000" w:themeColor="text1"/>
            <w:sz w:val="16"/>
            <w:szCs w:val="16"/>
          </w:rPr>
          <w:t>https://www.leafly.com/products/topicals</w:t>
        </w:r>
      </w:hyperlink>
      <w:r w:rsidRPr="00804E4F">
        <w:rPr>
          <w:rFonts w:cs="Arial"/>
          <w:color w:val="000000" w:themeColor="text1"/>
          <w:sz w:val="16"/>
          <w:szCs w:val="16"/>
        </w:rPr>
        <w:t xml:space="preserve">. </w:t>
      </w:r>
    </w:p>
  </w:footnote>
  <w:footnote w:id="180">
    <w:p w14:paraId="68D81832" w14:textId="4030C2C5" w:rsidR="007647B4" w:rsidRPr="00DC1245" w:rsidRDefault="007647B4">
      <w:pPr>
        <w:pStyle w:val="FootnoteText"/>
        <w:rPr>
          <w:rFonts w:ascii="Arial" w:hAnsi="Arial" w:cs="Arial"/>
          <w:sz w:val="16"/>
          <w:szCs w:val="16"/>
        </w:rPr>
      </w:pPr>
      <w:r w:rsidRPr="00804E4F">
        <w:rPr>
          <w:rStyle w:val="FootnoteReference"/>
          <w:rFonts w:cs="Arial"/>
          <w:sz w:val="16"/>
          <w:szCs w:val="16"/>
        </w:rPr>
        <w:footnoteRef/>
      </w:r>
      <w:r w:rsidRPr="00804E4F">
        <w:rPr>
          <w:rFonts w:cs="Arial"/>
          <w:sz w:val="16"/>
          <w:szCs w:val="16"/>
        </w:rPr>
        <w:t xml:space="preserve"> </w:t>
      </w:r>
      <w:proofErr w:type="spellStart"/>
      <w:r w:rsidRPr="00804E4F">
        <w:rPr>
          <w:rFonts w:cs="Arial"/>
          <w:color w:val="000000" w:themeColor="text1"/>
          <w:sz w:val="16"/>
          <w:szCs w:val="16"/>
        </w:rPr>
        <w:t>Orens</w:t>
      </w:r>
      <w:proofErr w:type="spellEnd"/>
      <w:r w:rsidRPr="00804E4F">
        <w:rPr>
          <w:rFonts w:cs="Arial"/>
          <w:color w:val="000000" w:themeColor="text1"/>
          <w:sz w:val="16"/>
          <w:szCs w:val="16"/>
        </w:rPr>
        <w:t xml:space="preserve"> A, Light M, Rowberry J, Matsen J, Lewandowski B. Marijuana Equivalency in Portion and Dosage An assessment of physical and pharmacokinetic relationships in marijuana production and consumption in Colorado. Marijuana Policy Group. University of Colorado, Leeds School of Business, Business Research Division, Marijuana Policy Group, and BBC Research &amp; Consulting for the Colorado Department of Revenue August 10, 2015.</w:t>
      </w:r>
    </w:p>
  </w:footnote>
  <w:footnote w:id="181">
    <w:p w14:paraId="31759160" w14:textId="439DB0BF" w:rsidR="007647B4" w:rsidRPr="00804E4F" w:rsidRDefault="007647B4">
      <w:pPr>
        <w:pStyle w:val="FootnoteText"/>
        <w:rPr>
          <w:rFonts w:cs="Times New Roman (Body CS)"/>
          <w:sz w:val="16"/>
        </w:rPr>
      </w:pPr>
      <w:r w:rsidRPr="00804E4F">
        <w:rPr>
          <w:rStyle w:val="FootnoteReference"/>
          <w:rFonts w:cs="Times New Roman (Body CS)"/>
          <w:sz w:val="16"/>
        </w:rPr>
        <w:footnoteRef/>
      </w:r>
      <w:r w:rsidRPr="00804E4F">
        <w:rPr>
          <w:rFonts w:cs="Times New Roman (Body CS)"/>
          <w:sz w:val="16"/>
        </w:rPr>
        <w:t xml:space="preserve"> </w:t>
      </w:r>
      <w:proofErr w:type="spellStart"/>
      <w:r w:rsidRPr="00804E4F">
        <w:rPr>
          <w:rFonts w:cs="Times New Roman (Body CS)"/>
          <w:sz w:val="16"/>
        </w:rPr>
        <w:t>Baig</w:t>
      </w:r>
      <w:proofErr w:type="spellEnd"/>
      <w:r w:rsidRPr="00804E4F">
        <w:rPr>
          <w:rFonts w:cs="Times New Roman (Body CS)"/>
          <w:sz w:val="16"/>
        </w:rPr>
        <w:t xml:space="preserve"> S., Byron MJ, Lazard, A, Brewer, N., “Organic,” “natural,” and “additive-free” cigarettes: Comparing the effects of advertising claims and disclaimers on perceptions of harm, </w:t>
      </w:r>
      <w:r w:rsidRPr="00804E4F">
        <w:rPr>
          <w:rFonts w:cs="Times New Roman (Body CS)"/>
          <w:i/>
          <w:sz w:val="16"/>
        </w:rPr>
        <w:t>Nicotine &amp; Tobacco Research</w:t>
      </w:r>
      <w:r w:rsidRPr="00804E4F">
        <w:rPr>
          <w:rFonts w:cs="Times New Roman (Body CS)"/>
          <w:sz w:val="16"/>
        </w:rPr>
        <w:t xml:space="preserve"> 2018, 1-7.</w:t>
      </w:r>
    </w:p>
  </w:footnote>
  <w:footnote w:id="182">
    <w:p w14:paraId="70EE0D62" w14:textId="7B982CC6" w:rsidR="007647B4" w:rsidRPr="007647B4" w:rsidRDefault="007647B4">
      <w:pPr>
        <w:pStyle w:val="FootnoteText"/>
        <w:rPr>
          <w:sz w:val="16"/>
          <w:szCs w:val="16"/>
        </w:rPr>
      </w:pPr>
      <w:r w:rsidRPr="007647B4">
        <w:rPr>
          <w:rStyle w:val="FootnoteReference"/>
          <w:sz w:val="16"/>
          <w:szCs w:val="16"/>
        </w:rPr>
        <w:footnoteRef/>
      </w:r>
      <w:r w:rsidRPr="007647B4">
        <w:rPr>
          <w:sz w:val="16"/>
          <w:szCs w:val="16"/>
        </w:rPr>
        <w:t xml:space="preserve"> National Conference of State Legislatures. Revolving Door Prohibitions. </w:t>
      </w:r>
      <w:r w:rsidRPr="007647B4">
        <w:rPr>
          <w:i/>
          <w:sz w:val="16"/>
          <w:szCs w:val="16"/>
        </w:rPr>
        <w:t>Conflict of Interest</w:t>
      </w:r>
      <w:r w:rsidRPr="007647B4">
        <w:rPr>
          <w:sz w:val="16"/>
          <w:szCs w:val="16"/>
        </w:rPr>
        <w:t xml:space="preserve"> 2017; </w:t>
      </w:r>
      <w:hyperlink r:id="rId32" w:history="1">
        <w:r w:rsidRPr="007647B4">
          <w:rPr>
            <w:rStyle w:val="Hyperlink"/>
            <w:sz w:val="16"/>
            <w:szCs w:val="16"/>
          </w:rPr>
          <w:t>http://www.ncsl.org/research/ethics/50-state-table-revolving-door-prohibitions.aspx</w:t>
        </w:r>
      </w:hyperlink>
      <w:r w:rsidRPr="007647B4">
        <w:rPr>
          <w:sz w:val="16"/>
          <w:szCs w:val="16"/>
        </w:rPr>
        <w:t>. Accessed July 20.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C34"/>
    <w:multiLevelType w:val="hybridMultilevel"/>
    <w:tmpl w:val="4A8EB8A6"/>
    <w:lvl w:ilvl="0" w:tplc="285250DA">
      <w:start w:val="14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308AE"/>
    <w:multiLevelType w:val="hybridMultilevel"/>
    <w:tmpl w:val="DB2017A0"/>
    <w:lvl w:ilvl="0" w:tplc="71264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B3665"/>
    <w:multiLevelType w:val="multilevel"/>
    <w:tmpl w:val="FFB4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74CDA"/>
    <w:multiLevelType w:val="hybridMultilevel"/>
    <w:tmpl w:val="310E7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17BAE"/>
    <w:multiLevelType w:val="hybridMultilevel"/>
    <w:tmpl w:val="B19C2B08"/>
    <w:lvl w:ilvl="0" w:tplc="AB124B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115D1"/>
    <w:multiLevelType w:val="hybridMultilevel"/>
    <w:tmpl w:val="FD4C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96A0E"/>
    <w:multiLevelType w:val="hybridMultilevel"/>
    <w:tmpl w:val="D1D803F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17"/>
    <w:rsid w:val="00027975"/>
    <w:rsid w:val="00042805"/>
    <w:rsid w:val="00096EC8"/>
    <w:rsid w:val="000B71A8"/>
    <w:rsid w:val="000B7EE5"/>
    <w:rsid w:val="000C48E8"/>
    <w:rsid w:val="000C7C65"/>
    <w:rsid w:val="000D10AF"/>
    <w:rsid w:val="000D3FDC"/>
    <w:rsid w:val="000D4D18"/>
    <w:rsid w:val="00105302"/>
    <w:rsid w:val="00110676"/>
    <w:rsid w:val="001135CB"/>
    <w:rsid w:val="00115C4F"/>
    <w:rsid w:val="00117EE7"/>
    <w:rsid w:val="00130103"/>
    <w:rsid w:val="00130F17"/>
    <w:rsid w:val="00160D43"/>
    <w:rsid w:val="00170E58"/>
    <w:rsid w:val="00187C17"/>
    <w:rsid w:val="00197CD2"/>
    <w:rsid w:val="001A1481"/>
    <w:rsid w:val="001A4FDB"/>
    <w:rsid w:val="001A7174"/>
    <w:rsid w:val="001B2BE9"/>
    <w:rsid w:val="001B2EED"/>
    <w:rsid w:val="001B433F"/>
    <w:rsid w:val="001C666D"/>
    <w:rsid w:val="001D2122"/>
    <w:rsid w:val="001D6E60"/>
    <w:rsid w:val="001E1684"/>
    <w:rsid w:val="001F47EB"/>
    <w:rsid w:val="0022627A"/>
    <w:rsid w:val="00226EFE"/>
    <w:rsid w:val="00232715"/>
    <w:rsid w:val="0023293F"/>
    <w:rsid w:val="00232B4E"/>
    <w:rsid w:val="00237BF4"/>
    <w:rsid w:val="0025383F"/>
    <w:rsid w:val="00295DBC"/>
    <w:rsid w:val="00297BEE"/>
    <w:rsid w:val="002B0C14"/>
    <w:rsid w:val="002B10E7"/>
    <w:rsid w:val="002E6CAB"/>
    <w:rsid w:val="002F3B3D"/>
    <w:rsid w:val="00304DEA"/>
    <w:rsid w:val="00316817"/>
    <w:rsid w:val="003366F6"/>
    <w:rsid w:val="00345B8C"/>
    <w:rsid w:val="003633E0"/>
    <w:rsid w:val="00363B53"/>
    <w:rsid w:val="003A241C"/>
    <w:rsid w:val="003A6D45"/>
    <w:rsid w:val="003B2510"/>
    <w:rsid w:val="003B2811"/>
    <w:rsid w:val="003B307A"/>
    <w:rsid w:val="003D3007"/>
    <w:rsid w:val="003E420C"/>
    <w:rsid w:val="00407069"/>
    <w:rsid w:val="00420DEB"/>
    <w:rsid w:val="0043680E"/>
    <w:rsid w:val="004444A8"/>
    <w:rsid w:val="00457F2F"/>
    <w:rsid w:val="004602D7"/>
    <w:rsid w:val="00471473"/>
    <w:rsid w:val="0047760D"/>
    <w:rsid w:val="00482B1D"/>
    <w:rsid w:val="00485764"/>
    <w:rsid w:val="004A509C"/>
    <w:rsid w:val="004D5771"/>
    <w:rsid w:val="004D6245"/>
    <w:rsid w:val="004F0418"/>
    <w:rsid w:val="005068E0"/>
    <w:rsid w:val="005110F1"/>
    <w:rsid w:val="00514595"/>
    <w:rsid w:val="00531948"/>
    <w:rsid w:val="005323D1"/>
    <w:rsid w:val="00535B7B"/>
    <w:rsid w:val="0054099B"/>
    <w:rsid w:val="00550815"/>
    <w:rsid w:val="0055768C"/>
    <w:rsid w:val="00564446"/>
    <w:rsid w:val="00585EB8"/>
    <w:rsid w:val="005B32E6"/>
    <w:rsid w:val="00613806"/>
    <w:rsid w:val="0063787C"/>
    <w:rsid w:val="006416EF"/>
    <w:rsid w:val="006423D6"/>
    <w:rsid w:val="006613D7"/>
    <w:rsid w:val="0066784D"/>
    <w:rsid w:val="00670769"/>
    <w:rsid w:val="00693489"/>
    <w:rsid w:val="006A4258"/>
    <w:rsid w:val="006B246B"/>
    <w:rsid w:val="006B3362"/>
    <w:rsid w:val="006D5370"/>
    <w:rsid w:val="006E1439"/>
    <w:rsid w:val="006E6CE1"/>
    <w:rsid w:val="007029FE"/>
    <w:rsid w:val="007130EA"/>
    <w:rsid w:val="00715A57"/>
    <w:rsid w:val="00726767"/>
    <w:rsid w:val="0074709E"/>
    <w:rsid w:val="00753566"/>
    <w:rsid w:val="00761832"/>
    <w:rsid w:val="007647B4"/>
    <w:rsid w:val="007808D7"/>
    <w:rsid w:val="0078613E"/>
    <w:rsid w:val="00794DD5"/>
    <w:rsid w:val="007B0484"/>
    <w:rsid w:val="007C3D31"/>
    <w:rsid w:val="007C46F3"/>
    <w:rsid w:val="007D7B67"/>
    <w:rsid w:val="00804E4F"/>
    <w:rsid w:val="00843F81"/>
    <w:rsid w:val="00845695"/>
    <w:rsid w:val="008512EA"/>
    <w:rsid w:val="00862ABB"/>
    <w:rsid w:val="00870D28"/>
    <w:rsid w:val="008742EB"/>
    <w:rsid w:val="00882637"/>
    <w:rsid w:val="0088384C"/>
    <w:rsid w:val="00887F44"/>
    <w:rsid w:val="008909BD"/>
    <w:rsid w:val="008A3296"/>
    <w:rsid w:val="008A35D7"/>
    <w:rsid w:val="008B5BEF"/>
    <w:rsid w:val="008C728D"/>
    <w:rsid w:val="008D1B9C"/>
    <w:rsid w:val="00926CBB"/>
    <w:rsid w:val="00932F13"/>
    <w:rsid w:val="009367D6"/>
    <w:rsid w:val="009542EB"/>
    <w:rsid w:val="00961AA5"/>
    <w:rsid w:val="00964B12"/>
    <w:rsid w:val="009D59BB"/>
    <w:rsid w:val="009E43E5"/>
    <w:rsid w:val="009E483B"/>
    <w:rsid w:val="009F1969"/>
    <w:rsid w:val="00A070FF"/>
    <w:rsid w:val="00A21799"/>
    <w:rsid w:val="00A4255B"/>
    <w:rsid w:val="00A47FC2"/>
    <w:rsid w:val="00A549C2"/>
    <w:rsid w:val="00A77D1B"/>
    <w:rsid w:val="00A969B8"/>
    <w:rsid w:val="00AA0169"/>
    <w:rsid w:val="00AA4A14"/>
    <w:rsid w:val="00AD2800"/>
    <w:rsid w:val="00AE385D"/>
    <w:rsid w:val="00AF6AB0"/>
    <w:rsid w:val="00B01B4A"/>
    <w:rsid w:val="00B20245"/>
    <w:rsid w:val="00B75FAB"/>
    <w:rsid w:val="00BA3ED8"/>
    <w:rsid w:val="00BE1A93"/>
    <w:rsid w:val="00C067DC"/>
    <w:rsid w:val="00C24D3E"/>
    <w:rsid w:val="00C303F8"/>
    <w:rsid w:val="00C67228"/>
    <w:rsid w:val="00CA5DFE"/>
    <w:rsid w:val="00CA77ED"/>
    <w:rsid w:val="00CB1EF0"/>
    <w:rsid w:val="00CF58E6"/>
    <w:rsid w:val="00D32EBA"/>
    <w:rsid w:val="00D74832"/>
    <w:rsid w:val="00D862C4"/>
    <w:rsid w:val="00D96164"/>
    <w:rsid w:val="00DA6B6F"/>
    <w:rsid w:val="00DB17BA"/>
    <w:rsid w:val="00DC1245"/>
    <w:rsid w:val="00DC723F"/>
    <w:rsid w:val="00DF44BD"/>
    <w:rsid w:val="00E20A8B"/>
    <w:rsid w:val="00E4487A"/>
    <w:rsid w:val="00E57C16"/>
    <w:rsid w:val="00E655DB"/>
    <w:rsid w:val="00E71B65"/>
    <w:rsid w:val="00E7317F"/>
    <w:rsid w:val="00E92CE0"/>
    <w:rsid w:val="00E945C1"/>
    <w:rsid w:val="00EC0B2E"/>
    <w:rsid w:val="00EC6CCE"/>
    <w:rsid w:val="00EE331A"/>
    <w:rsid w:val="00EE624B"/>
    <w:rsid w:val="00EF0F60"/>
    <w:rsid w:val="00EF732A"/>
    <w:rsid w:val="00F12532"/>
    <w:rsid w:val="00F12703"/>
    <w:rsid w:val="00F2335F"/>
    <w:rsid w:val="00F51626"/>
    <w:rsid w:val="00F82CDC"/>
    <w:rsid w:val="00FB0B7E"/>
    <w:rsid w:val="00FC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F83E"/>
  <w15:chartTrackingRefBased/>
  <w15:docId w15:val="{A62EBE28-0AF0-2943-B89E-02FDDCFB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370"/>
    <w:rPr>
      <w:rFonts w:ascii="Times New Roman" w:eastAsia="Times New Roman" w:hAnsi="Times New Roman" w:cs="Times New Roman"/>
    </w:rPr>
  </w:style>
  <w:style w:type="paragraph" w:styleId="Heading1">
    <w:name w:val="heading 1"/>
    <w:basedOn w:val="Normal"/>
    <w:link w:val="Heading1Char"/>
    <w:uiPriority w:val="9"/>
    <w:qFormat/>
    <w:rsid w:val="00753566"/>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78613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8613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6D537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16817"/>
    <w:pPr>
      <w:ind w:left="720"/>
      <w:contextualSpacing/>
    </w:pPr>
  </w:style>
  <w:style w:type="character" w:styleId="CommentReference">
    <w:name w:val="annotation reference"/>
    <w:basedOn w:val="DefaultParagraphFont"/>
    <w:uiPriority w:val="99"/>
    <w:semiHidden/>
    <w:unhideWhenUsed/>
    <w:rsid w:val="00CB1EF0"/>
    <w:rPr>
      <w:sz w:val="16"/>
      <w:szCs w:val="16"/>
    </w:rPr>
  </w:style>
  <w:style w:type="paragraph" w:styleId="CommentText">
    <w:name w:val="annotation text"/>
    <w:basedOn w:val="Normal"/>
    <w:link w:val="CommentTextChar"/>
    <w:uiPriority w:val="99"/>
    <w:semiHidden/>
    <w:unhideWhenUsed/>
    <w:rsid w:val="00CB1EF0"/>
    <w:rPr>
      <w:sz w:val="20"/>
      <w:szCs w:val="20"/>
    </w:rPr>
  </w:style>
  <w:style w:type="character" w:customStyle="1" w:styleId="CommentTextChar">
    <w:name w:val="Comment Text Char"/>
    <w:basedOn w:val="DefaultParagraphFont"/>
    <w:link w:val="CommentText"/>
    <w:uiPriority w:val="99"/>
    <w:semiHidden/>
    <w:rsid w:val="00CB1EF0"/>
    <w:rPr>
      <w:sz w:val="20"/>
      <w:szCs w:val="20"/>
    </w:rPr>
  </w:style>
  <w:style w:type="paragraph" w:styleId="CommentSubject">
    <w:name w:val="annotation subject"/>
    <w:basedOn w:val="CommentText"/>
    <w:next w:val="CommentText"/>
    <w:link w:val="CommentSubjectChar"/>
    <w:uiPriority w:val="99"/>
    <w:semiHidden/>
    <w:unhideWhenUsed/>
    <w:rsid w:val="00CB1EF0"/>
    <w:rPr>
      <w:b/>
      <w:bCs/>
    </w:rPr>
  </w:style>
  <w:style w:type="character" w:customStyle="1" w:styleId="CommentSubjectChar">
    <w:name w:val="Comment Subject Char"/>
    <w:basedOn w:val="CommentTextChar"/>
    <w:link w:val="CommentSubject"/>
    <w:uiPriority w:val="99"/>
    <w:semiHidden/>
    <w:rsid w:val="00CB1EF0"/>
    <w:rPr>
      <w:b/>
      <w:bCs/>
      <w:sz w:val="20"/>
      <w:szCs w:val="20"/>
    </w:rPr>
  </w:style>
  <w:style w:type="paragraph" w:styleId="BalloonText">
    <w:name w:val="Balloon Text"/>
    <w:basedOn w:val="Normal"/>
    <w:link w:val="BalloonTextChar"/>
    <w:uiPriority w:val="99"/>
    <w:semiHidden/>
    <w:unhideWhenUsed/>
    <w:rsid w:val="00CB1EF0"/>
    <w:rPr>
      <w:sz w:val="18"/>
      <w:szCs w:val="18"/>
    </w:rPr>
  </w:style>
  <w:style w:type="character" w:customStyle="1" w:styleId="BalloonTextChar">
    <w:name w:val="Balloon Text Char"/>
    <w:basedOn w:val="DefaultParagraphFont"/>
    <w:link w:val="BalloonText"/>
    <w:uiPriority w:val="99"/>
    <w:semiHidden/>
    <w:rsid w:val="00CB1EF0"/>
    <w:rPr>
      <w:rFonts w:ascii="Times New Roman" w:hAnsi="Times New Roman" w:cs="Times New Roman"/>
      <w:sz w:val="18"/>
      <w:szCs w:val="18"/>
    </w:rPr>
  </w:style>
  <w:style w:type="paragraph" w:styleId="FootnoteText">
    <w:name w:val="footnote text"/>
    <w:basedOn w:val="Normal"/>
    <w:link w:val="FootnoteTextChar"/>
    <w:uiPriority w:val="99"/>
    <w:unhideWhenUsed/>
    <w:rsid w:val="00DF44BD"/>
    <w:rPr>
      <w:sz w:val="20"/>
      <w:szCs w:val="20"/>
    </w:rPr>
  </w:style>
  <w:style w:type="character" w:customStyle="1" w:styleId="FootnoteTextChar">
    <w:name w:val="Footnote Text Char"/>
    <w:basedOn w:val="DefaultParagraphFont"/>
    <w:link w:val="FootnoteText"/>
    <w:uiPriority w:val="99"/>
    <w:rsid w:val="00DF44BD"/>
    <w:rPr>
      <w:sz w:val="20"/>
      <w:szCs w:val="20"/>
    </w:rPr>
  </w:style>
  <w:style w:type="character" w:styleId="FootnoteReference">
    <w:name w:val="footnote reference"/>
    <w:basedOn w:val="DefaultParagraphFont"/>
    <w:uiPriority w:val="99"/>
    <w:unhideWhenUsed/>
    <w:rsid w:val="00DF44BD"/>
    <w:rPr>
      <w:vertAlign w:val="superscript"/>
    </w:rPr>
  </w:style>
  <w:style w:type="character" w:styleId="Hyperlink">
    <w:name w:val="Hyperlink"/>
    <w:basedOn w:val="DefaultParagraphFont"/>
    <w:uiPriority w:val="99"/>
    <w:unhideWhenUsed/>
    <w:rsid w:val="00CA77ED"/>
    <w:rPr>
      <w:color w:val="0563C1" w:themeColor="hyperlink"/>
      <w:u w:val="single"/>
    </w:rPr>
  </w:style>
  <w:style w:type="character" w:styleId="UnresolvedMention">
    <w:name w:val="Unresolved Mention"/>
    <w:basedOn w:val="DefaultParagraphFont"/>
    <w:uiPriority w:val="99"/>
    <w:semiHidden/>
    <w:unhideWhenUsed/>
    <w:rsid w:val="00CA77ED"/>
    <w:rPr>
      <w:color w:val="605E5C"/>
      <w:shd w:val="clear" w:color="auto" w:fill="E1DFDD"/>
    </w:rPr>
  </w:style>
  <w:style w:type="paragraph" w:styleId="Header">
    <w:name w:val="header"/>
    <w:basedOn w:val="Normal"/>
    <w:link w:val="HeaderChar"/>
    <w:uiPriority w:val="99"/>
    <w:unhideWhenUsed/>
    <w:rsid w:val="00297BEE"/>
    <w:pPr>
      <w:tabs>
        <w:tab w:val="center" w:pos="4680"/>
        <w:tab w:val="right" w:pos="9360"/>
      </w:tabs>
    </w:pPr>
  </w:style>
  <w:style w:type="character" w:customStyle="1" w:styleId="HeaderChar">
    <w:name w:val="Header Char"/>
    <w:basedOn w:val="DefaultParagraphFont"/>
    <w:link w:val="Header"/>
    <w:uiPriority w:val="99"/>
    <w:rsid w:val="00297BEE"/>
  </w:style>
  <w:style w:type="paragraph" w:styleId="Footer">
    <w:name w:val="footer"/>
    <w:basedOn w:val="Normal"/>
    <w:link w:val="FooterChar"/>
    <w:uiPriority w:val="99"/>
    <w:unhideWhenUsed/>
    <w:rsid w:val="00297BEE"/>
    <w:pPr>
      <w:tabs>
        <w:tab w:val="center" w:pos="4680"/>
        <w:tab w:val="right" w:pos="9360"/>
      </w:tabs>
    </w:pPr>
  </w:style>
  <w:style w:type="character" w:customStyle="1" w:styleId="FooterChar">
    <w:name w:val="Footer Char"/>
    <w:basedOn w:val="DefaultParagraphFont"/>
    <w:link w:val="Footer"/>
    <w:uiPriority w:val="99"/>
    <w:rsid w:val="00297BEE"/>
  </w:style>
  <w:style w:type="character" w:customStyle="1" w:styleId="A0">
    <w:name w:val="A0"/>
    <w:uiPriority w:val="99"/>
    <w:rsid w:val="009F1969"/>
    <w:rPr>
      <w:rFonts w:cs="Proxima Nova Alt Rg"/>
      <w:color w:val="211D1E"/>
      <w:sz w:val="23"/>
      <w:szCs w:val="23"/>
    </w:rPr>
  </w:style>
  <w:style w:type="paragraph" w:styleId="Revision">
    <w:name w:val="Revision"/>
    <w:hidden/>
    <w:uiPriority w:val="99"/>
    <w:semiHidden/>
    <w:rsid w:val="000C7C65"/>
  </w:style>
  <w:style w:type="character" w:customStyle="1" w:styleId="highlight">
    <w:name w:val="highlight"/>
    <w:basedOn w:val="DefaultParagraphFont"/>
    <w:rsid w:val="00753566"/>
  </w:style>
  <w:style w:type="character" w:customStyle="1" w:styleId="hlfld-contribauthor">
    <w:name w:val="hlfld-contribauthor"/>
    <w:basedOn w:val="DefaultParagraphFont"/>
    <w:rsid w:val="00753566"/>
  </w:style>
  <w:style w:type="character" w:customStyle="1" w:styleId="nlmgiven-names">
    <w:name w:val="nlm_given-names"/>
    <w:basedOn w:val="DefaultParagraphFont"/>
    <w:rsid w:val="00753566"/>
  </w:style>
  <w:style w:type="character" w:customStyle="1" w:styleId="nlmyear">
    <w:name w:val="nlm_year"/>
    <w:basedOn w:val="DefaultParagraphFont"/>
    <w:rsid w:val="00753566"/>
  </w:style>
  <w:style w:type="character" w:customStyle="1" w:styleId="nlmarticle-title">
    <w:name w:val="nlm_article-title"/>
    <w:basedOn w:val="DefaultParagraphFont"/>
    <w:rsid w:val="00753566"/>
  </w:style>
  <w:style w:type="character" w:customStyle="1" w:styleId="nlmfpage">
    <w:name w:val="nlm_fpage"/>
    <w:basedOn w:val="DefaultParagraphFont"/>
    <w:rsid w:val="00753566"/>
  </w:style>
  <w:style w:type="character" w:customStyle="1" w:styleId="nlmlpage">
    <w:name w:val="nlm_lpage"/>
    <w:basedOn w:val="DefaultParagraphFont"/>
    <w:rsid w:val="00753566"/>
  </w:style>
  <w:style w:type="character" w:customStyle="1" w:styleId="ref-lnk">
    <w:name w:val="ref-lnk"/>
    <w:basedOn w:val="DefaultParagraphFont"/>
    <w:rsid w:val="00753566"/>
  </w:style>
  <w:style w:type="character" w:customStyle="1" w:styleId="ref-overlay">
    <w:name w:val="ref-overlay"/>
    <w:basedOn w:val="DefaultParagraphFont"/>
    <w:rsid w:val="00753566"/>
  </w:style>
  <w:style w:type="character" w:customStyle="1" w:styleId="nlmpub-id">
    <w:name w:val="nlm_pub-id"/>
    <w:basedOn w:val="DefaultParagraphFont"/>
    <w:rsid w:val="00753566"/>
  </w:style>
  <w:style w:type="character" w:customStyle="1" w:styleId="Heading1Char">
    <w:name w:val="Heading 1 Char"/>
    <w:basedOn w:val="DefaultParagraphFont"/>
    <w:link w:val="Heading1"/>
    <w:uiPriority w:val="9"/>
    <w:rsid w:val="00753566"/>
    <w:rPr>
      <w:rFonts w:ascii="Times" w:eastAsia="Times New Roman" w:hAnsi="Times" w:cs="Times New Roman"/>
      <w:b/>
      <w:bCs/>
      <w:kern w:val="36"/>
      <w:sz w:val="48"/>
      <w:szCs w:val="48"/>
    </w:rPr>
  </w:style>
  <w:style w:type="character" w:customStyle="1" w:styleId="xlinks-container">
    <w:name w:val="xlinks-container"/>
    <w:basedOn w:val="DefaultParagraphFont"/>
    <w:rsid w:val="004F0418"/>
  </w:style>
  <w:style w:type="character" w:styleId="FollowedHyperlink">
    <w:name w:val="FollowedHyperlink"/>
    <w:basedOn w:val="DefaultParagraphFont"/>
    <w:uiPriority w:val="99"/>
    <w:semiHidden/>
    <w:unhideWhenUsed/>
    <w:rsid w:val="004F0418"/>
    <w:rPr>
      <w:color w:val="954F72" w:themeColor="followedHyperlink"/>
      <w:u w:val="single"/>
    </w:rPr>
  </w:style>
  <w:style w:type="paragraph" w:styleId="NormalWeb">
    <w:name w:val="Normal (Web)"/>
    <w:basedOn w:val="Normal"/>
    <w:uiPriority w:val="99"/>
    <w:unhideWhenUsed/>
    <w:rsid w:val="00A549C2"/>
    <w:pPr>
      <w:spacing w:before="100" w:beforeAutospacing="1" w:after="100" w:afterAutospacing="1"/>
    </w:pPr>
  </w:style>
  <w:style w:type="character" w:styleId="Strong">
    <w:name w:val="Strong"/>
    <w:basedOn w:val="DefaultParagraphFont"/>
    <w:uiPriority w:val="22"/>
    <w:qFormat/>
    <w:rsid w:val="00A549C2"/>
    <w:rPr>
      <w:b/>
      <w:bCs/>
    </w:rPr>
  </w:style>
  <w:style w:type="character" w:styleId="PageNumber">
    <w:name w:val="page number"/>
    <w:basedOn w:val="DefaultParagraphFont"/>
    <w:uiPriority w:val="99"/>
    <w:semiHidden/>
    <w:unhideWhenUsed/>
    <w:rsid w:val="001B2BE9"/>
  </w:style>
  <w:style w:type="paragraph" w:styleId="Bibliography">
    <w:name w:val="Bibliography"/>
    <w:basedOn w:val="Normal"/>
    <w:next w:val="Normal"/>
    <w:uiPriority w:val="37"/>
    <w:semiHidden/>
    <w:unhideWhenUsed/>
    <w:rsid w:val="001D6E60"/>
  </w:style>
  <w:style w:type="character" w:customStyle="1" w:styleId="Heading4Char">
    <w:name w:val="Heading 4 Char"/>
    <w:basedOn w:val="DefaultParagraphFont"/>
    <w:link w:val="Heading4"/>
    <w:uiPriority w:val="9"/>
    <w:rsid w:val="0078613E"/>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78613E"/>
    <w:rPr>
      <w:rFonts w:asciiTheme="majorHAnsi" w:eastAsiaTheme="majorEastAsia" w:hAnsiTheme="majorHAnsi" w:cstheme="majorBidi"/>
      <w:color w:val="1F3763" w:themeColor="accent1" w:themeShade="7F"/>
    </w:rPr>
  </w:style>
  <w:style w:type="character" w:customStyle="1" w:styleId="ui-ncbitoggler-master-text">
    <w:name w:val="ui-ncbitoggler-master-text"/>
    <w:basedOn w:val="DefaultParagraphFont"/>
    <w:rsid w:val="0078613E"/>
  </w:style>
  <w:style w:type="character" w:customStyle="1" w:styleId="Heading6Char">
    <w:name w:val="Heading 6 Char"/>
    <w:basedOn w:val="DefaultParagraphFont"/>
    <w:link w:val="Heading6"/>
    <w:uiPriority w:val="9"/>
    <w:rsid w:val="006D5370"/>
    <w:rPr>
      <w:rFonts w:asciiTheme="majorHAnsi" w:eastAsiaTheme="majorEastAsia" w:hAnsiTheme="majorHAnsi" w:cstheme="majorBidi"/>
      <w:color w:val="1F3763" w:themeColor="accent1" w:themeShade="7F"/>
    </w:rPr>
  </w:style>
  <w:style w:type="paragraph" w:customStyle="1" w:styleId="title">
    <w:name w:val="title"/>
    <w:basedOn w:val="Normal"/>
    <w:rsid w:val="00A070FF"/>
    <w:pPr>
      <w:spacing w:before="100" w:beforeAutospacing="1" w:after="100" w:afterAutospacing="1"/>
    </w:pPr>
  </w:style>
  <w:style w:type="paragraph" w:customStyle="1" w:styleId="desc">
    <w:name w:val="desc"/>
    <w:basedOn w:val="Normal"/>
    <w:rsid w:val="00A070FF"/>
    <w:pPr>
      <w:spacing w:before="100" w:beforeAutospacing="1" w:after="100" w:afterAutospacing="1"/>
    </w:pPr>
  </w:style>
  <w:style w:type="paragraph" w:customStyle="1" w:styleId="details">
    <w:name w:val="details"/>
    <w:basedOn w:val="Normal"/>
    <w:rsid w:val="00A070FF"/>
    <w:pPr>
      <w:spacing w:before="100" w:beforeAutospacing="1" w:after="100" w:afterAutospacing="1"/>
    </w:pPr>
  </w:style>
  <w:style w:type="character" w:customStyle="1" w:styleId="jrnl">
    <w:name w:val="jrnl"/>
    <w:basedOn w:val="DefaultParagraphFont"/>
    <w:rsid w:val="00A07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282">
      <w:bodyDiv w:val="1"/>
      <w:marLeft w:val="0"/>
      <w:marRight w:val="0"/>
      <w:marTop w:val="0"/>
      <w:marBottom w:val="0"/>
      <w:divBdr>
        <w:top w:val="none" w:sz="0" w:space="0" w:color="auto"/>
        <w:left w:val="none" w:sz="0" w:space="0" w:color="auto"/>
        <w:bottom w:val="none" w:sz="0" w:space="0" w:color="auto"/>
        <w:right w:val="none" w:sz="0" w:space="0" w:color="auto"/>
      </w:divBdr>
    </w:div>
    <w:div w:id="17777901">
      <w:bodyDiv w:val="1"/>
      <w:marLeft w:val="0"/>
      <w:marRight w:val="0"/>
      <w:marTop w:val="0"/>
      <w:marBottom w:val="0"/>
      <w:divBdr>
        <w:top w:val="none" w:sz="0" w:space="0" w:color="auto"/>
        <w:left w:val="none" w:sz="0" w:space="0" w:color="auto"/>
        <w:bottom w:val="none" w:sz="0" w:space="0" w:color="auto"/>
        <w:right w:val="none" w:sz="0" w:space="0" w:color="auto"/>
      </w:divBdr>
    </w:div>
    <w:div w:id="22483289">
      <w:bodyDiv w:val="1"/>
      <w:marLeft w:val="0"/>
      <w:marRight w:val="0"/>
      <w:marTop w:val="0"/>
      <w:marBottom w:val="0"/>
      <w:divBdr>
        <w:top w:val="none" w:sz="0" w:space="0" w:color="auto"/>
        <w:left w:val="none" w:sz="0" w:space="0" w:color="auto"/>
        <w:bottom w:val="none" w:sz="0" w:space="0" w:color="auto"/>
        <w:right w:val="none" w:sz="0" w:space="0" w:color="auto"/>
      </w:divBdr>
    </w:div>
    <w:div w:id="38669420">
      <w:bodyDiv w:val="1"/>
      <w:marLeft w:val="0"/>
      <w:marRight w:val="0"/>
      <w:marTop w:val="0"/>
      <w:marBottom w:val="0"/>
      <w:divBdr>
        <w:top w:val="none" w:sz="0" w:space="0" w:color="auto"/>
        <w:left w:val="none" w:sz="0" w:space="0" w:color="auto"/>
        <w:bottom w:val="none" w:sz="0" w:space="0" w:color="auto"/>
        <w:right w:val="none" w:sz="0" w:space="0" w:color="auto"/>
      </w:divBdr>
    </w:div>
    <w:div w:id="46799710">
      <w:bodyDiv w:val="1"/>
      <w:marLeft w:val="0"/>
      <w:marRight w:val="0"/>
      <w:marTop w:val="0"/>
      <w:marBottom w:val="0"/>
      <w:divBdr>
        <w:top w:val="none" w:sz="0" w:space="0" w:color="auto"/>
        <w:left w:val="none" w:sz="0" w:space="0" w:color="auto"/>
        <w:bottom w:val="none" w:sz="0" w:space="0" w:color="auto"/>
        <w:right w:val="none" w:sz="0" w:space="0" w:color="auto"/>
      </w:divBdr>
    </w:div>
    <w:div w:id="48966920">
      <w:bodyDiv w:val="1"/>
      <w:marLeft w:val="0"/>
      <w:marRight w:val="0"/>
      <w:marTop w:val="0"/>
      <w:marBottom w:val="0"/>
      <w:divBdr>
        <w:top w:val="none" w:sz="0" w:space="0" w:color="auto"/>
        <w:left w:val="none" w:sz="0" w:space="0" w:color="auto"/>
        <w:bottom w:val="none" w:sz="0" w:space="0" w:color="auto"/>
        <w:right w:val="none" w:sz="0" w:space="0" w:color="auto"/>
      </w:divBdr>
    </w:div>
    <w:div w:id="76682443">
      <w:bodyDiv w:val="1"/>
      <w:marLeft w:val="0"/>
      <w:marRight w:val="0"/>
      <w:marTop w:val="0"/>
      <w:marBottom w:val="0"/>
      <w:divBdr>
        <w:top w:val="none" w:sz="0" w:space="0" w:color="auto"/>
        <w:left w:val="none" w:sz="0" w:space="0" w:color="auto"/>
        <w:bottom w:val="none" w:sz="0" w:space="0" w:color="auto"/>
        <w:right w:val="none" w:sz="0" w:space="0" w:color="auto"/>
      </w:divBdr>
    </w:div>
    <w:div w:id="89281745">
      <w:bodyDiv w:val="1"/>
      <w:marLeft w:val="0"/>
      <w:marRight w:val="0"/>
      <w:marTop w:val="0"/>
      <w:marBottom w:val="0"/>
      <w:divBdr>
        <w:top w:val="none" w:sz="0" w:space="0" w:color="auto"/>
        <w:left w:val="none" w:sz="0" w:space="0" w:color="auto"/>
        <w:bottom w:val="none" w:sz="0" w:space="0" w:color="auto"/>
        <w:right w:val="none" w:sz="0" w:space="0" w:color="auto"/>
      </w:divBdr>
    </w:div>
    <w:div w:id="101414947">
      <w:bodyDiv w:val="1"/>
      <w:marLeft w:val="0"/>
      <w:marRight w:val="0"/>
      <w:marTop w:val="0"/>
      <w:marBottom w:val="0"/>
      <w:divBdr>
        <w:top w:val="none" w:sz="0" w:space="0" w:color="auto"/>
        <w:left w:val="none" w:sz="0" w:space="0" w:color="auto"/>
        <w:bottom w:val="none" w:sz="0" w:space="0" w:color="auto"/>
        <w:right w:val="none" w:sz="0" w:space="0" w:color="auto"/>
      </w:divBdr>
    </w:div>
    <w:div w:id="123428819">
      <w:bodyDiv w:val="1"/>
      <w:marLeft w:val="0"/>
      <w:marRight w:val="0"/>
      <w:marTop w:val="0"/>
      <w:marBottom w:val="0"/>
      <w:divBdr>
        <w:top w:val="none" w:sz="0" w:space="0" w:color="auto"/>
        <w:left w:val="none" w:sz="0" w:space="0" w:color="auto"/>
        <w:bottom w:val="none" w:sz="0" w:space="0" w:color="auto"/>
        <w:right w:val="none" w:sz="0" w:space="0" w:color="auto"/>
      </w:divBdr>
    </w:div>
    <w:div w:id="141697091">
      <w:bodyDiv w:val="1"/>
      <w:marLeft w:val="0"/>
      <w:marRight w:val="0"/>
      <w:marTop w:val="0"/>
      <w:marBottom w:val="0"/>
      <w:divBdr>
        <w:top w:val="none" w:sz="0" w:space="0" w:color="auto"/>
        <w:left w:val="none" w:sz="0" w:space="0" w:color="auto"/>
        <w:bottom w:val="none" w:sz="0" w:space="0" w:color="auto"/>
        <w:right w:val="none" w:sz="0" w:space="0" w:color="auto"/>
      </w:divBdr>
    </w:div>
    <w:div w:id="154348001">
      <w:bodyDiv w:val="1"/>
      <w:marLeft w:val="0"/>
      <w:marRight w:val="0"/>
      <w:marTop w:val="0"/>
      <w:marBottom w:val="0"/>
      <w:divBdr>
        <w:top w:val="none" w:sz="0" w:space="0" w:color="auto"/>
        <w:left w:val="none" w:sz="0" w:space="0" w:color="auto"/>
        <w:bottom w:val="none" w:sz="0" w:space="0" w:color="auto"/>
        <w:right w:val="none" w:sz="0" w:space="0" w:color="auto"/>
      </w:divBdr>
    </w:div>
    <w:div w:id="159933805">
      <w:bodyDiv w:val="1"/>
      <w:marLeft w:val="0"/>
      <w:marRight w:val="0"/>
      <w:marTop w:val="0"/>
      <w:marBottom w:val="0"/>
      <w:divBdr>
        <w:top w:val="none" w:sz="0" w:space="0" w:color="auto"/>
        <w:left w:val="none" w:sz="0" w:space="0" w:color="auto"/>
        <w:bottom w:val="none" w:sz="0" w:space="0" w:color="auto"/>
        <w:right w:val="none" w:sz="0" w:space="0" w:color="auto"/>
      </w:divBdr>
    </w:div>
    <w:div w:id="166752131">
      <w:bodyDiv w:val="1"/>
      <w:marLeft w:val="0"/>
      <w:marRight w:val="0"/>
      <w:marTop w:val="0"/>
      <w:marBottom w:val="0"/>
      <w:divBdr>
        <w:top w:val="none" w:sz="0" w:space="0" w:color="auto"/>
        <w:left w:val="none" w:sz="0" w:space="0" w:color="auto"/>
        <w:bottom w:val="none" w:sz="0" w:space="0" w:color="auto"/>
        <w:right w:val="none" w:sz="0" w:space="0" w:color="auto"/>
      </w:divBdr>
    </w:div>
    <w:div w:id="176577272">
      <w:bodyDiv w:val="1"/>
      <w:marLeft w:val="0"/>
      <w:marRight w:val="0"/>
      <w:marTop w:val="0"/>
      <w:marBottom w:val="0"/>
      <w:divBdr>
        <w:top w:val="none" w:sz="0" w:space="0" w:color="auto"/>
        <w:left w:val="none" w:sz="0" w:space="0" w:color="auto"/>
        <w:bottom w:val="none" w:sz="0" w:space="0" w:color="auto"/>
        <w:right w:val="none" w:sz="0" w:space="0" w:color="auto"/>
      </w:divBdr>
    </w:div>
    <w:div w:id="179706835">
      <w:bodyDiv w:val="1"/>
      <w:marLeft w:val="0"/>
      <w:marRight w:val="0"/>
      <w:marTop w:val="0"/>
      <w:marBottom w:val="0"/>
      <w:divBdr>
        <w:top w:val="none" w:sz="0" w:space="0" w:color="auto"/>
        <w:left w:val="none" w:sz="0" w:space="0" w:color="auto"/>
        <w:bottom w:val="none" w:sz="0" w:space="0" w:color="auto"/>
        <w:right w:val="none" w:sz="0" w:space="0" w:color="auto"/>
      </w:divBdr>
    </w:div>
    <w:div w:id="220600956">
      <w:bodyDiv w:val="1"/>
      <w:marLeft w:val="0"/>
      <w:marRight w:val="0"/>
      <w:marTop w:val="0"/>
      <w:marBottom w:val="0"/>
      <w:divBdr>
        <w:top w:val="none" w:sz="0" w:space="0" w:color="auto"/>
        <w:left w:val="none" w:sz="0" w:space="0" w:color="auto"/>
        <w:bottom w:val="none" w:sz="0" w:space="0" w:color="auto"/>
        <w:right w:val="none" w:sz="0" w:space="0" w:color="auto"/>
      </w:divBdr>
    </w:div>
    <w:div w:id="234096288">
      <w:bodyDiv w:val="1"/>
      <w:marLeft w:val="0"/>
      <w:marRight w:val="0"/>
      <w:marTop w:val="0"/>
      <w:marBottom w:val="0"/>
      <w:divBdr>
        <w:top w:val="none" w:sz="0" w:space="0" w:color="auto"/>
        <w:left w:val="none" w:sz="0" w:space="0" w:color="auto"/>
        <w:bottom w:val="none" w:sz="0" w:space="0" w:color="auto"/>
        <w:right w:val="none" w:sz="0" w:space="0" w:color="auto"/>
      </w:divBdr>
    </w:div>
    <w:div w:id="271787495">
      <w:bodyDiv w:val="1"/>
      <w:marLeft w:val="0"/>
      <w:marRight w:val="0"/>
      <w:marTop w:val="0"/>
      <w:marBottom w:val="0"/>
      <w:divBdr>
        <w:top w:val="none" w:sz="0" w:space="0" w:color="auto"/>
        <w:left w:val="none" w:sz="0" w:space="0" w:color="auto"/>
        <w:bottom w:val="none" w:sz="0" w:space="0" w:color="auto"/>
        <w:right w:val="none" w:sz="0" w:space="0" w:color="auto"/>
      </w:divBdr>
    </w:div>
    <w:div w:id="304624647">
      <w:bodyDiv w:val="1"/>
      <w:marLeft w:val="0"/>
      <w:marRight w:val="0"/>
      <w:marTop w:val="0"/>
      <w:marBottom w:val="0"/>
      <w:divBdr>
        <w:top w:val="none" w:sz="0" w:space="0" w:color="auto"/>
        <w:left w:val="none" w:sz="0" w:space="0" w:color="auto"/>
        <w:bottom w:val="none" w:sz="0" w:space="0" w:color="auto"/>
        <w:right w:val="none" w:sz="0" w:space="0" w:color="auto"/>
      </w:divBdr>
    </w:div>
    <w:div w:id="316961403">
      <w:bodyDiv w:val="1"/>
      <w:marLeft w:val="0"/>
      <w:marRight w:val="0"/>
      <w:marTop w:val="0"/>
      <w:marBottom w:val="0"/>
      <w:divBdr>
        <w:top w:val="none" w:sz="0" w:space="0" w:color="auto"/>
        <w:left w:val="none" w:sz="0" w:space="0" w:color="auto"/>
        <w:bottom w:val="none" w:sz="0" w:space="0" w:color="auto"/>
        <w:right w:val="none" w:sz="0" w:space="0" w:color="auto"/>
      </w:divBdr>
    </w:div>
    <w:div w:id="318850137">
      <w:bodyDiv w:val="1"/>
      <w:marLeft w:val="0"/>
      <w:marRight w:val="0"/>
      <w:marTop w:val="0"/>
      <w:marBottom w:val="0"/>
      <w:divBdr>
        <w:top w:val="none" w:sz="0" w:space="0" w:color="auto"/>
        <w:left w:val="none" w:sz="0" w:space="0" w:color="auto"/>
        <w:bottom w:val="none" w:sz="0" w:space="0" w:color="auto"/>
        <w:right w:val="none" w:sz="0" w:space="0" w:color="auto"/>
      </w:divBdr>
    </w:div>
    <w:div w:id="323750365">
      <w:bodyDiv w:val="1"/>
      <w:marLeft w:val="0"/>
      <w:marRight w:val="0"/>
      <w:marTop w:val="0"/>
      <w:marBottom w:val="0"/>
      <w:divBdr>
        <w:top w:val="none" w:sz="0" w:space="0" w:color="auto"/>
        <w:left w:val="none" w:sz="0" w:space="0" w:color="auto"/>
        <w:bottom w:val="none" w:sz="0" w:space="0" w:color="auto"/>
        <w:right w:val="none" w:sz="0" w:space="0" w:color="auto"/>
      </w:divBdr>
    </w:div>
    <w:div w:id="333457279">
      <w:bodyDiv w:val="1"/>
      <w:marLeft w:val="0"/>
      <w:marRight w:val="0"/>
      <w:marTop w:val="0"/>
      <w:marBottom w:val="0"/>
      <w:divBdr>
        <w:top w:val="none" w:sz="0" w:space="0" w:color="auto"/>
        <w:left w:val="none" w:sz="0" w:space="0" w:color="auto"/>
        <w:bottom w:val="none" w:sz="0" w:space="0" w:color="auto"/>
        <w:right w:val="none" w:sz="0" w:space="0" w:color="auto"/>
      </w:divBdr>
    </w:div>
    <w:div w:id="338510784">
      <w:bodyDiv w:val="1"/>
      <w:marLeft w:val="0"/>
      <w:marRight w:val="0"/>
      <w:marTop w:val="0"/>
      <w:marBottom w:val="0"/>
      <w:divBdr>
        <w:top w:val="none" w:sz="0" w:space="0" w:color="auto"/>
        <w:left w:val="none" w:sz="0" w:space="0" w:color="auto"/>
        <w:bottom w:val="none" w:sz="0" w:space="0" w:color="auto"/>
        <w:right w:val="none" w:sz="0" w:space="0" w:color="auto"/>
      </w:divBdr>
    </w:div>
    <w:div w:id="351229808">
      <w:bodyDiv w:val="1"/>
      <w:marLeft w:val="0"/>
      <w:marRight w:val="0"/>
      <w:marTop w:val="0"/>
      <w:marBottom w:val="0"/>
      <w:divBdr>
        <w:top w:val="none" w:sz="0" w:space="0" w:color="auto"/>
        <w:left w:val="none" w:sz="0" w:space="0" w:color="auto"/>
        <w:bottom w:val="none" w:sz="0" w:space="0" w:color="auto"/>
        <w:right w:val="none" w:sz="0" w:space="0" w:color="auto"/>
      </w:divBdr>
    </w:div>
    <w:div w:id="365954248">
      <w:bodyDiv w:val="1"/>
      <w:marLeft w:val="0"/>
      <w:marRight w:val="0"/>
      <w:marTop w:val="0"/>
      <w:marBottom w:val="0"/>
      <w:divBdr>
        <w:top w:val="none" w:sz="0" w:space="0" w:color="auto"/>
        <w:left w:val="none" w:sz="0" w:space="0" w:color="auto"/>
        <w:bottom w:val="none" w:sz="0" w:space="0" w:color="auto"/>
        <w:right w:val="none" w:sz="0" w:space="0" w:color="auto"/>
      </w:divBdr>
    </w:div>
    <w:div w:id="458688281">
      <w:bodyDiv w:val="1"/>
      <w:marLeft w:val="0"/>
      <w:marRight w:val="0"/>
      <w:marTop w:val="0"/>
      <w:marBottom w:val="0"/>
      <w:divBdr>
        <w:top w:val="none" w:sz="0" w:space="0" w:color="auto"/>
        <w:left w:val="none" w:sz="0" w:space="0" w:color="auto"/>
        <w:bottom w:val="none" w:sz="0" w:space="0" w:color="auto"/>
        <w:right w:val="none" w:sz="0" w:space="0" w:color="auto"/>
      </w:divBdr>
    </w:div>
    <w:div w:id="491137803">
      <w:bodyDiv w:val="1"/>
      <w:marLeft w:val="0"/>
      <w:marRight w:val="0"/>
      <w:marTop w:val="0"/>
      <w:marBottom w:val="0"/>
      <w:divBdr>
        <w:top w:val="none" w:sz="0" w:space="0" w:color="auto"/>
        <w:left w:val="none" w:sz="0" w:space="0" w:color="auto"/>
        <w:bottom w:val="none" w:sz="0" w:space="0" w:color="auto"/>
        <w:right w:val="none" w:sz="0" w:space="0" w:color="auto"/>
      </w:divBdr>
    </w:div>
    <w:div w:id="503742022">
      <w:bodyDiv w:val="1"/>
      <w:marLeft w:val="0"/>
      <w:marRight w:val="0"/>
      <w:marTop w:val="0"/>
      <w:marBottom w:val="0"/>
      <w:divBdr>
        <w:top w:val="none" w:sz="0" w:space="0" w:color="auto"/>
        <w:left w:val="none" w:sz="0" w:space="0" w:color="auto"/>
        <w:bottom w:val="none" w:sz="0" w:space="0" w:color="auto"/>
        <w:right w:val="none" w:sz="0" w:space="0" w:color="auto"/>
      </w:divBdr>
    </w:div>
    <w:div w:id="507258144">
      <w:bodyDiv w:val="1"/>
      <w:marLeft w:val="0"/>
      <w:marRight w:val="0"/>
      <w:marTop w:val="0"/>
      <w:marBottom w:val="0"/>
      <w:divBdr>
        <w:top w:val="none" w:sz="0" w:space="0" w:color="auto"/>
        <w:left w:val="none" w:sz="0" w:space="0" w:color="auto"/>
        <w:bottom w:val="none" w:sz="0" w:space="0" w:color="auto"/>
        <w:right w:val="none" w:sz="0" w:space="0" w:color="auto"/>
      </w:divBdr>
      <w:divsChild>
        <w:div w:id="35352167">
          <w:marLeft w:val="0"/>
          <w:marRight w:val="0"/>
          <w:marTop w:val="0"/>
          <w:marBottom w:val="0"/>
          <w:divBdr>
            <w:top w:val="none" w:sz="0" w:space="0" w:color="auto"/>
            <w:left w:val="none" w:sz="0" w:space="0" w:color="auto"/>
            <w:bottom w:val="none" w:sz="0" w:space="0" w:color="auto"/>
            <w:right w:val="none" w:sz="0" w:space="0" w:color="auto"/>
          </w:divBdr>
        </w:div>
        <w:div w:id="1726832710">
          <w:marLeft w:val="0"/>
          <w:marRight w:val="0"/>
          <w:marTop w:val="0"/>
          <w:marBottom w:val="0"/>
          <w:divBdr>
            <w:top w:val="none" w:sz="0" w:space="0" w:color="auto"/>
            <w:left w:val="none" w:sz="0" w:space="0" w:color="auto"/>
            <w:bottom w:val="none" w:sz="0" w:space="0" w:color="auto"/>
            <w:right w:val="none" w:sz="0" w:space="0" w:color="auto"/>
          </w:divBdr>
        </w:div>
      </w:divsChild>
    </w:div>
    <w:div w:id="509222540">
      <w:bodyDiv w:val="1"/>
      <w:marLeft w:val="0"/>
      <w:marRight w:val="0"/>
      <w:marTop w:val="0"/>
      <w:marBottom w:val="0"/>
      <w:divBdr>
        <w:top w:val="none" w:sz="0" w:space="0" w:color="auto"/>
        <w:left w:val="none" w:sz="0" w:space="0" w:color="auto"/>
        <w:bottom w:val="none" w:sz="0" w:space="0" w:color="auto"/>
        <w:right w:val="none" w:sz="0" w:space="0" w:color="auto"/>
      </w:divBdr>
    </w:div>
    <w:div w:id="538199592">
      <w:bodyDiv w:val="1"/>
      <w:marLeft w:val="0"/>
      <w:marRight w:val="0"/>
      <w:marTop w:val="0"/>
      <w:marBottom w:val="0"/>
      <w:divBdr>
        <w:top w:val="none" w:sz="0" w:space="0" w:color="auto"/>
        <w:left w:val="none" w:sz="0" w:space="0" w:color="auto"/>
        <w:bottom w:val="none" w:sz="0" w:space="0" w:color="auto"/>
        <w:right w:val="none" w:sz="0" w:space="0" w:color="auto"/>
      </w:divBdr>
    </w:div>
    <w:div w:id="548037102">
      <w:bodyDiv w:val="1"/>
      <w:marLeft w:val="0"/>
      <w:marRight w:val="0"/>
      <w:marTop w:val="0"/>
      <w:marBottom w:val="0"/>
      <w:divBdr>
        <w:top w:val="none" w:sz="0" w:space="0" w:color="auto"/>
        <w:left w:val="none" w:sz="0" w:space="0" w:color="auto"/>
        <w:bottom w:val="none" w:sz="0" w:space="0" w:color="auto"/>
        <w:right w:val="none" w:sz="0" w:space="0" w:color="auto"/>
      </w:divBdr>
    </w:div>
    <w:div w:id="572081971">
      <w:bodyDiv w:val="1"/>
      <w:marLeft w:val="0"/>
      <w:marRight w:val="0"/>
      <w:marTop w:val="0"/>
      <w:marBottom w:val="0"/>
      <w:divBdr>
        <w:top w:val="none" w:sz="0" w:space="0" w:color="auto"/>
        <w:left w:val="none" w:sz="0" w:space="0" w:color="auto"/>
        <w:bottom w:val="none" w:sz="0" w:space="0" w:color="auto"/>
        <w:right w:val="none" w:sz="0" w:space="0" w:color="auto"/>
      </w:divBdr>
    </w:div>
    <w:div w:id="578830798">
      <w:bodyDiv w:val="1"/>
      <w:marLeft w:val="0"/>
      <w:marRight w:val="0"/>
      <w:marTop w:val="0"/>
      <w:marBottom w:val="0"/>
      <w:divBdr>
        <w:top w:val="none" w:sz="0" w:space="0" w:color="auto"/>
        <w:left w:val="none" w:sz="0" w:space="0" w:color="auto"/>
        <w:bottom w:val="none" w:sz="0" w:space="0" w:color="auto"/>
        <w:right w:val="none" w:sz="0" w:space="0" w:color="auto"/>
      </w:divBdr>
    </w:div>
    <w:div w:id="583877873">
      <w:bodyDiv w:val="1"/>
      <w:marLeft w:val="0"/>
      <w:marRight w:val="0"/>
      <w:marTop w:val="0"/>
      <w:marBottom w:val="0"/>
      <w:divBdr>
        <w:top w:val="none" w:sz="0" w:space="0" w:color="auto"/>
        <w:left w:val="none" w:sz="0" w:space="0" w:color="auto"/>
        <w:bottom w:val="none" w:sz="0" w:space="0" w:color="auto"/>
        <w:right w:val="none" w:sz="0" w:space="0" w:color="auto"/>
      </w:divBdr>
    </w:div>
    <w:div w:id="612368385">
      <w:bodyDiv w:val="1"/>
      <w:marLeft w:val="0"/>
      <w:marRight w:val="0"/>
      <w:marTop w:val="0"/>
      <w:marBottom w:val="0"/>
      <w:divBdr>
        <w:top w:val="none" w:sz="0" w:space="0" w:color="auto"/>
        <w:left w:val="none" w:sz="0" w:space="0" w:color="auto"/>
        <w:bottom w:val="none" w:sz="0" w:space="0" w:color="auto"/>
        <w:right w:val="none" w:sz="0" w:space="0" w:color="auto"/>
      </w:divBdr>
    </w:div>
    <w:div w:id="636422151">
      <w:bodyDiv w:val="1"/>
      <w:marLeft w:val="0"/>
      <w:marRight w:val="0"/>
      <w:marTop w:val="0"/>
      <w:marBottom w:val="0"/>
      <w:divBdr>
        <w:top w:val="none" w:sz="0" w:space="0" w:color="auto"/>
        <w:left w:val="none" w:sz="0" w:space="0" w:color="auto"/>
        <w:bottom w:val="none" w:sz="0" w:space="0" w:color="auto"/>
        <w:right w:val="none" w:sz="0" w:space="0" w:color="auto"/>
      </w:divBdr>
    </w:div>
    <w:div w:id="650602699">
      <w:bodyDiv w:val="1"/>
      <w:marLeft w:val="0"/>
      <w:marRight w:val="0"/>
      <w:marTop w:val="0"/>
      <w:marBottom w:val="0"/>
      <w:divBdr>
        <w:top w:val="none" w:sz="0" w:space="0" w:color="auto"/>
        <w:left w:val="none" w:sz="0" w:space="0" w:color="auto"/>
        <w:bottom w:val="none" w:sz="0" w:space="0" w:color="auto"/>
        <w:right w:val="none" w:sz="0" w:space="0" w:color="auto"/>
      </w:divBdr>
    </w:div>
    <w:div w:id="653140031">
      <w:bodyDiv w:val="1"/>
      <w:marLeft w:val="0"/>
      <w:marRight w:val="0"/>
      <w:marTop w:val="0"/>
      <w:marBottom w:val="0"/>
      <w:divBdr>
        <w:top w:val="none" w:sz="0" w:space="0" w:color="auto"/>
        <w:left w:val="none" w:sz="0" w:space="0" w:color="auto"/>
        <w:bottom w:val="none" w:sz="0" w:space="0" w:color="auto"/>
        <w:right w:val="none" w:sz="0" w:space="0" w:color="auto"/>
      </w:divBdr>
    </w:div>
    <w:div w:id="686254101">
      <w:bodyDiv w:val="1"/>
      <w:marLeft w:val="0"/>
      <w:marRight w:val="0"/>
      <w:marTop w:val="0"/>
      <w:marBottom w:val="0"/>
      <w:divBdr>
        <w:top w:val="none" w:sz="0" w:space="0" w:color="auto"/>
        <w:left w:val="none" w:sz="0" w:space="0" w:color="auto"/>
        <w:bottom w:val="none" w:sz="0" w:space="0" w:color="auto"/>
        <w:right w:val="none" w:sz="0" w:space="0" w:color="auto"/>
      </w:divBdr>
    </w:div>
    <w:div w:id="697848857">
      <w:bodyDiv w:val="1"/>
      <w:marLeft w:val="0"/>
      <w:marRight w:val="0"/>
      <w:marTop w:val="0"/>
      <w:marBottom w:val="0"/>
      <w:divBdr>
        <w:top w:val="none" w:sz="0" w:space="0" w:color="auto"/>
        <w:left w:val="none" w:sz="0" w:space="0" w:color="auto"/>
        <w:bottom w:val="none" w:sz="0" w:space="0" w:color="auto"/>
        <w:right w:val="none" w:sz="0" w:space="0" w:color="auto"/>
      </w:divBdr>
    </w:div>
    <w:div w:id="716659780">
      <w:bodyDiv w:val="1"/>
      <w:marLeft w:val="0"/>
      <w:marRight w:val="0"/>
      <w:marTop w:val="0"/>
      <w:marBottom w:val="0"/>
      <w:divBdr>
        <w:top w:val="none" w:sz="0" w:space="0" w:color="auto"/>
        <w:left w:val="none" w:sz="0" w:space="0" w:color="auto"/>
        <w:bottom w:val="none" w:sz="0" w:space="0" w:color="auto"/>
        <w:right w:val="none" w:sz="0" w:space="0" w:color="auto"/>
      </w:divBdr>
    </w:div>
    <w:div w:id="746465140">
      <w:bodyDiv w:val="1"/>
      <w:marLeft w:val="0"/>
      <w:marRight w:val="0"/>
      <w:marTop w:val="0"/>
      <w:marBottom w:val="0"/>
      <w:divBdr>
        <w:top w:val="none" w:sz="0" w:space="0" w:color="auto"/>
        <w:left w:val="none" w:sz="0" w:space="0" w:color="auto"/>
        <w:bottom w:val="none" w:sz="0" w:space="0" w:color="auto"/>
        <w:right w:val="none" w:sz="0" w:space="0" w:color="auto"/>
      </w:divBdr>
    </w:div>
    <w:div w:id="757286159">
      <w:bodyDiv w:val="1"/>
      <w:marLeft w:val="0"/>
      <w:marRight w:val="0"/>
      <w:marTop w:val="0"/>
      <w:marBottom w:val="0"/>
      <w:divBdr>
        <w:top w:val="none" w:sz="0" w:space="0" w:color="auto"/>
        <w:left w:val="none" w:sz="0" w:space="0" w:color="auto"/>
        <w:bottom w:val="none" w:sz="0" w:space="0" w:color="auto"/>
        <w:right w:val="none" w:sz="0" w:space="0" w:color="auto"/>
      </w:divBdr>
    </w:div>
    <w:div w:id="762382070">
      <w:bodyDiv w:val="1"/>
      <w:marLeft w:val="0"/>
      <w:marRight w:val="0"/>
      <w:marTop w:val="0"/>
      <w:marBottom w:val="0"/>
      <w:divBdr>
        <w:top w:val="none" w:sz="0" w:space="0" w:color="auto"/>
        <w:left w:val="none" w:sz="0" w:space="0" w:color="auto"/>
        <w:bottom w:val="none" w:sz="0" w:space="0" w:color="auto"/>
        <w:right w:val="none" w:sz="0" w:space="0" w:color="auto"/>
      </w:divBdr>
    </w:div>
    <w:div w:id="777212662">
      <w:bodyDiv w:val="1"/>
      <w:marLeft w:val="0"/>
      <w:marRight w:val="0"/>
      <w:marTop w:val="0"/>
      <w:marBottom w:val="0"/>
      <w:divBdr>
        <w:top w:val="none" w:sz="0" w:space="0" w:color="auto"/>
        <w:left w:val="none" w:sz="0" w:space="0" w:color="auto"/>
        <w:bottom w:val="none" w:sz="0" w:space="0" w:color="auto"/>
        <w:right w:val="none" w:sz="0" w:space="0" w:color="auto"/>
      </w:divBdr>
    </w:div>
    <w:div w:id="782654974">
      <w:bodyDiv w:val="1"/>
      <w:marLeft w:val="0"/>
      <w:marRight w:val="0"/>
      <w:marTop w:val="0"/>
      <w:marBottom w:val="0"/>
      <w:divBdr>
        <w:top w:val="none" w:sz="0" w:space="0" w:color="auto"/>
        <w:left w:val="none" w:sz="0" w:space="0" w:color="auto"/>
        <w:bottom w:val="none" w:sz="0" w:space="0" w:color="auto"/>
        <w:right w:val="none" w:sz="0" w:space="0" w:color="auto"/>
      </w:divBdr>
    </w:div>
    <w:div w:id="798500071">
      <w:bodyDiv w:val="1"/>
      <w:marLeft w:val="0"/>
      <w:marRight w:val="0"/>
      <w:marTop w:val="0"/>
      <w:marBottom w:val="0"/>
      <w:divBdr>
        <w:top w:val="none" w:sz="0" w:space="0" w:color="auto"/>
        <w:left w:val="none" w:sz="0" w:space="0" w:color="auto"/>
        <w:bottom w:val="none" w:sz="0" w:space="0" w:color="auto"/>
        <w:right w:val="none" w:sz="0" w:space="0" w:color="auto"/>
      </w:divBdr>
    </w:div>
    <w:div w:id="803229673">
      <w:bodyDiv w:val="1"/>
      <w:marLeft w:val="0"/>
      <w:marRight w:val="0"/>
      <w:marTop w:val="0"/>
      <w:marBottom w:val="0"/>
      <w:divBdr>
        <w:top w:val="none" w:sz="0" w:space="0" w:color="auto"/>
        <w:left w:val="none" w:sz="0" w:space="0" w:color="auto"/>
        <w:bottom w:val="none" w:sz="0" w:space="0" w:color="auto"/>
        <w:right w:val="none" w:sz="0" w:space="0" w:color="auto"/>
      </w:divBdr>
    </w:div>
    <w:div w:id="864099327">
      <w:bodyDiv w:val="1"/>
      <w:marLeft w:val="0"/>
      <w:marRight w:val="0"/>
      <w:marTop w:val="0"/>
      <w:marBottom w:val="0"/>
      <w:divBdr>
        <w:top w:val="none" w:sz="0" w:space="0" w:color="auto"/>
        <w:left w:val="none" w:sz="0" w:space="0" w:color="auto"/>
        <w:bottom w:val="none" w:sz="0" w:space="0" w:color="auto"/>
        <w:right w:val="none" w:sz="0" w:space="0" w:color="auto"/>
      </w:divBdr>
    </w:div>
    <w:div w:id="875580898">
      <w:bodyDiv w:val="1"/>
      <w:marLeft w:val="0"/>
      <w:marRight w:val="0"/>
      <w:marTop w:val="0"/>
      <w:marBottom w:val="0"/>
      <w:divBdr>
        <w:top w:val="none" w:sz="0" w:space="0" w:color="auto"/>
        <w:left w:val="none" w:sz="0" w:space="0" w:color="auto"/>
        <w:bottom w:val="none" w:sz="0" w:space="0" w:color="auto"/>
        <w:right w:val="none" w:sz="0" w:space="0" w:color="auto"/>
      </w:divBdr>
    </w:div>
    <w:div w:id="891691324">
      <w:bodyDiv w:val="1"/>
      <w:marLeft w:val="0"/>
      <w:marRight w:val="0"/>
      <w:marTop w:val="0"/>
      <w:marBottom w:val="0"/>
      <w:divBdr>
        <w:top w:val="none" w:sz="0" w:space="0" w:color="auto"/>
        <w:left w:val="none" w:sz="0" w:space="0" w:color="auto"/>
        <w:bottom w:val="none" w:sz="0" w:space="0" w:color="auto"/>
        <w:right w:val="none" w:sz="0" w:space="0" w:color="auto"/>
      </w:divBdr>
    </w:div>
    <w:div w:id="908150121">
      <w:bodyDiv w:val="1"/>
      <w:marLeft w:val="0"/>
      <w:marRight w:val="0"/>
      <w:marTop w:val="0"/>
      <w:marBottom w:val="0"/>
      <w:divBdr>
        <w:top w:val="none" w:sz="0" w:space="0" w:color="auto"/>
        <w:left w:val="none" w:sz="0" w:space="0" w:color="auto"/>
        <w:bottom w:val="none" w:sz="0" w:space="0" w:color="auto"/>
        <w:right w:val="none" w:sz="0" w:space="0" w:color="auto"/>
      </w:divBdr>
    </w:div>
    <w:div w:id="918518917">
      <w:bodyDiv w:val="1"/>
      <w:marLeft w:val="0"/>
      <w:marRight w:val="0"/>
      <w:marTop w:val="0"/>
      <w:marBottom w:val="0"/>
      <w:divBdr>
        <w:top w:val="none" w:sz="0" w:space="0" w:color="auto"/>
        <w:left w:val="none" w:sz="0" w:space="0" w:color="auto"/>
        <w:bottom w:val="none" w:sz="0" w:space="0" w:color="auto"/>
        <w:right w:val="none" w:sz="0" w:space="0" w:color="auto"/>
      </w:divBdr>
    </w:div>
    <w:div w:id="932979892">
      <w:bodyDiv w:val="1"/>
      <w:marLeft w:val="0"/>
      <w:marRight w:val="0"/>
      <w:marTop w:val="0"/>
      <w:marBottom w:val="0"/>
      <w:divBdr>
        <w:top w:val="none" w:sz="0" w:space="0" w:color="auto"/>
        <w:left w:val="none" w:sz="0" w:space="0" w:color="auto"/>
        <w:bottom w:val="none" w:sz="0" w:space="0" w:color="auto"/>
        <w:right w:val="none" w:sz="0" w:space="0" w:color="auto"/>
      </w:divBdr>
    </w:div>
    <w:div w:id="960303782">
      <w:bodyDiv w:val="1"/>
      <w:marLeft w:val="0"/>
      <w:marRight w:val="0"/>
      <w:marTop w:val="0"/>
      <w:marBottom w:val="0"/>
      <w:divBdr>
        <w:top w:val="none" w:sz="0" w:space="0" w:color="auto"/>
        <w:left w:val="none" w:sz="0" w:space="0" w:color="auto"/>
        <w:bottom w:val="none" w:sz="0" w:space="0" w:color="auto"/>
        <w:right w:val="none" w:sz="0" w:space="0" w:color="auto"/>
      </w:divBdr>
    </w:div>
    <w:div w:id="960840348">
      <w:bodyDiv w:val="1"/>
      <w:marLeft w:val="0"/>
      <w:marRight w:val="0"/>
      <w:marTop w:val="0"/>
      <w:marBottom w:val="0"/>
      <w:divBdr>
        <w:top w:val="none" w:sz="0" w:space="0" w:color="auto"/>
        <w:left w:val="none" w:sz="0" w:space="0" w:color="auto"/>
        <w:bottom w:val="none" w:sz="0" w:space="0" w:color="auto"/>
        <w:right w:val="none" w:sz="0" w:space="0" w:color="auto"/>
      </w:divBdr>
    </w:div>
    <w:div w:id="966163225">
      <w:bodyDiv w:val="1"/>
      <w:marLeft w:val="0"/>
      <w:marRight w:val="0"/>
      <w:marTop w:val="0"/>
      <w:marBottom w:val="0"/>
      <w:divBdr>
        <w:top w:val="none" w:sz="0" w:space="0" w:color="auto"/>
        <w:left w:val="none" w:sz="0" w:space="0" w:color="auto"/>
        <w:bottom w:val="none" w:sz="0" w:space="0" w:color="auto"/>
        <w:right w:val="none" w:sz="0" w:space="0" w:color="auto"/>
      </w:divBdr>
    </w:div>
    <w:div w:id="969478755">
      <w:bodyDiv w:val="1"/>
      <w:marLeft w:val="0"/>
      <w:marRight w:val="0"/>
      <w:marTop w:val="0"/>
      <w:marBottom w:val="0"/>
      <w:divBdr>
        <w:top w:val="none" w:sz="0" w:space="0" w:color="auto"/>
        <w:left w:val="none" w:sz="0" w:space="0" w:color="auto"/>
        <w:bottom w:val="none" w:sz="0" w:space="0" w:color="auto"/>
        <w:right w:val="none" w:sz="0" w:space="0" w:color="auto"/>
      </w:divBdr>
    </w:div>
    <w:div w:id="979575064">
      <w:bodyDiv w:val="1"/>
      <w:marLeft w:val="0"/>
      <w:marRight w:val="0"/>
      <w:marTop w:val="0"/>
      <w:marBottom w:val="0"/>
      <w:divBdr>
        <w:top w:val="none" w:sz="0" w:space="0" w:color="auto"/>
        <w:left w:val="none" w:sz="0" w:space="0" w:color="auto"/>
        <w:bottom w:val="none" w:sz="0" w:space="0" w:color="auto"/>
        <w:right w:val="none" w:sz="0" w:space="0" w:color="auto"/>
      </w:divBdr>
    </w:div>
    <w:div w:id="990329916">
      <w:bodyDiv w:val="1"/>
      <w:marLeft w:val="0"/>
      <w:marRight w:val="0"/>
      <w:marTop w:val="0"/>
      <w:marBottom w:val="0"/>
      <w:divBdr>
        <w:top w:val="none" w:sz="0" w:space="0" w:color="auto"/>
        <w:left w:val="none" w:sz="0" w:space="0" w:color="auto"/>
        <w:bottom w:val="none" w:sz="0" w:space="0" w:color="auto"/>
        <w:right w:val="none" w:sz="0" w:space="0" w:color="auto"/>
      </w:divBdr>
    </w:div>
    <w:div w:id="995887938">
      <w:bodyDiv w:val="1"/>
      <w:marLeft w:val="0"/>
      <w:marRight w:val="0"/>
      <w:marTop w:val="0"/>
      <w:marBottom w:val="0"/>
      <w:divBdr>
        <w:top w:val="none" w:sz="0" w:space="0" w:color="auto"/>
        <w:left w:val="none" w:sz="0" w:space="0" w:color="auto"/>
        <w:bottom w:val="none" w:sz="0" w:space="0" w:color="auto"/>
        <w:right w:val="none" w:sz="0" w:space="0" w:color="auto"/>
      </w:divBdr>
    </w:div>
    <w:div w:id="996687619">
      <w:bodyDiv w:val="1"/>
      <w:marLeft w:val="0"/>
      <w:marRight w:val="0"/>
      <w:marTop w:val="0"/>
      <w:marBottom w:val="0"/>
      <w:divBdr>
        <w:top w:val="none" w:sz="0" w:space="0" w:color="auto"/>
        <w:left w:val="none" w:sz="0" w:space="0" w:color="auto"/>
        <w:bottom w:val="none" w:sz="0" w:space="0" w:color="auto"/>
        <w:right w:val="none" w:sz="0" w:space="0" w:color="auto"/>
      </w:divBdr>
    </w:div>
    <w:div w:id="1001815347">
      <w:bodyDiv w:val="1"/>
      <w:marLeft w:val="0"/>
      <w:marRight w:val="0"/>
      <w:marTop w:val="0"/>
      <w:marBottom w:val="0"/>
      <w:divBdr>
        <w:top w:val="none" w:sz="0" w:space="0" w:color="auto"/>
        <w:left w:val="none" w:sz="0" w:space="0" w:color="auto"/>
        <w:bottom w:val="none" w:sz="0" w:space="0" w:color="auto"/>
        <w:right w:val="none" w:sz="0" w:space="0" w:color="auto"/>
      </w:divBdr>
    </w:div>
    <w:div w:id="1020937282">
      <w:bodyDiv w:val="1"/>
      <w:marLeft w:val="0"/>
      <w:marRight w:val="0"/>
      <w:marTop w:val="0"/>
      <w:marBottom w:val="0"/>
      <w:divBdr>
        <w:top w:val="none" w:sz="0" w:space="0" w:color="auto"/>
        <w:left w:val="none" w:sz="0" w:space="0" w:color="auto"/>
        <w:bottom w:val="none" w:sz="0" w:space="0" w:color="auto"/>
        <w:right w:val="none" w:sz="0" w:space="0" w:color="auto"/>
      </w:divBdr>
    </w:div>
    <w:div w:id="1022315671">
      <w:bodyDiv w:val="1"/>
      <w:marLeft w:val="0"/>
      <w:marRight w:val="0"/>
      <w:marTop w:val="0"/>
      <w:marBottom w:val="0"/>
      <w:divBdr>
        <w:top w:val="none" w:sz="0" w:space="0" w:color="auto"/>
        <w:left w:val="none" w:sz="0" w:space="0" w:color="auto"/>
        <w:bottom w:val="none" w:sz="0" w:space="0" w:color="auto"/>
        <w:right w:val="none" w:sz="0" w:space="0" w:color="auto"/>
      </w:divBdr>
    </w:div>
    <w:div w:id="1048842700">
      <w:bodyDiv w:val="1"/>
      <w:marLeft w:val="0"/>
      <w:marRight w:val="0"/>
      <w:marTop w:val="0"/>
      <w:marBottom w:val="0"/>
      <w:divBdr>
        <w:top w:val="none" w:sz="0" w:space="0" w:color="auto"/>
        <w:left w:val="none" w:sz="0" w:space="0" w:color="auto"/>
        <w:bottom w:val="none" w:sz="0" w:space="0" w:color="auto"/>
        <w:right w:val="none" w:sz="0" w:space="0" w:color="auto"/>
      </w:divBdr>
    </w:div>
    <w:div w:id="1062098254">
      <w:bodyDiv w:val="1"/>
      <w:marLeft w:val="0"/>
      <w:marRight w:val="0"/>
      <w:marTop w:val="0"/>
      <w:marBottom w:val="0"/>
      <w:divBdr>
        <w:top w:val="none" w:sz="0" w:space="0" w:color="auto"/>
        <w:left w:val="none" w:sz="0" w:space="0" w:color="auto"/>
        <w:bottom w:val="none" w:sz="0" w:space="0" w:color="auto"/>
        <w:right w:val="none" w:sz="0" w:space="0" w:color="auto"/>
      </w:divBdr>
    </w:div>
    <w:div w:id="1066605128">
      <w:bodyDiv w:val="1"/>
      <w:marLeft w:val="0"/>
      <w:marRight w:val="0"/>
      <w:marTop w:val="0"/>
      <w:marBottom w:val="0"/>
      <w:divBdr>
        <w:top w:val="none" w:sz="0" w:space="0" w:color="auto"/>
        <w:left w:val="none" w:sz="0" w:space="0" w:color="auto"/>
        <w:bottom w:val="none" w:sz="0" w:space="0" w:color="auto"/>
        <w:right w:val="none" w:sz="0" w:space="0" w:color="auto"/>
      </w:divBdr>
    </w:div>
    <w:div w:id="1082795080">
      <w:bodyDiv w:val="1"/>
      <w:marLeft w:val="0"/>
      <w:marRight w:val="0"/>
      <w:marTop w:val="0"/>
      <w:marBottom w:val="0"/>
      <w:divBdr>
        <w:top w:val="none" w:sz="0" w:space="0" w:color="auto"/>
        <w:left w:val="none" w:sz="0" w:space="0" w:color="auto"/>
        <w:bottom w:val="none" w:sz="0" w:space="0" w:color="auto"/>
        <w:right w:val="none" w:sz="0" w:space="0" w:color="auto"/>
      </w:divBdr>
    </w:div>
    <w:div w:id="1112940236">
      <w:bodyDiv w:val="1"/>
      <w:marLeft w:val="0"/>
      <w:marRight w:val="0"/>
      <w:marTop w:val="0"/>
      <w:marBottom w:val="0"/>
      <w:divBdr>
        <w:top w:val="none" w:sz="0" w:space="0" w:color="auto"/>
        <w:left w:val="none" w:sz="0" w:space="0" w:color="auto"/>
        <w:bottom w:val="none" w:sz="0" w:space="0" w:color="auto"/>
        <w:right w:val="none" w:sz="0" w:space="0" w:color="auto"/>
      </w:divBdr>
    </w:div>
    <w:div w:id="1113523477">
      <w:bodyDiv w:val="1"/>
      <w:marLeft w:val="0"/>
      <w:marRight w:val="0"/>
      <w:marTop w:val="0"/>
      <w:marBottom w:val="0"/>
      <w:divBdr>
        <w:top w:val="none" w:sz="0" w:space="0" w:color="auto"/>
        <w:left w:val="none" w:sz="0" w:space="0" w:color="auto"/>
        <w:bottom w:val="none" w:sz="0" w:space="0" w:color="auto"/>
        <w:right w:val="none" w:sz="0" w:space="0" w:color="auto"/>
      </w:divBdr>
    </w:div>
    <w:div w:id="1125153497">
      <w:bodyDiv w:val="1"/>
      <w:marLeft w:val="0"/>
      <w:marRight w:val="0"/>
      <w:marTop w:val="0"/>
      <w:marBottom w:val="0"/>
      <w:divBdr>
        <w:top w:val="none" w:sz="0" w:space="0" w:color="auto"/>
        <w:left w:val="none" w:sz="0" w:space="0" w:color="auto"/>
        <w:bottom w:val="none" w:sz="0" w:space="0" w:color="auto"/>
        <w:right w:val="none" w:sz="0" w:space="0" w:color="auto"/>
      </w:divBdr>
    </w:div>
    <w:div w:id="1132554597">
      <w:bodyDiv w:val="1"/>
      <w:marLeft w:val="0"/>
      <w:marRight w:val="0"/>
      <w:marTop w:val="0"/>
      <w:marBottom w:val="0"/>
      <w:divBdr>
        <w:top w:val="none" w:sz="0" w:space="0" w:color="auto"/>
        <w:left w:val="none" w:sz="0" w:space="0" w:color="auto"/>
        <w:bottom w:val="none" w:sz="0" w:space="0" w:color="auto"/>
        <w:right w:val="none" w:sz="0" w:space="0" w:color="auto"/>
      </w:divBdr>
    </w:div>
    <w:div w:id="1153763423">
      <w:bodyDiv w:val="1"/>
      <w:marLeft w:val="0"/>
      <w:marRight w:val="0"/>
      <w:marTop w:val="0"/>
      <w:marBottom w:val="0"/>
      <w:divBdr>
        <w:top w:val="none" w:sz="0" w:space="0" w:color="auto"/>
        <w:left w:val="none" w:sz="0" w:space="0" w:color="auto"/>
        <w:bottom w:val="none" w:sz="0" w:space="0" w:color="auto"/>
        <w:right w:val="none" w:sz="0" w:space="0" w:color="auto"/>
      </w:divBdr>
    </w:div>
    <w:div w:id="1184899273">
      <w:bodyDiv w:val="1"/>
      <w:marLeft w:val="0"/>
      <w:marRight w:val="0"/>
      <w:marTop w:val="0"/>
      <w:marBottom w:val="0"/>
      <w:divBdr>
        <w:top w:val="none" w:sz="0" w:space="0" w:color="auto"/>
        <w:left w:val="none" w:sz="0" w:space="0" w:color="auto"/>
        <w:bottom w:val="none" w:sz="0" w:space="0" w:color="auto"/>
        <w:right w:val="none" w:sz="0" w:space="0" w:color="auto"/>
      </w:divBdr>
    </w:div>
    <w:div w:id="1197960595">
      <w:bodyDiv w:val="1"/>
      <w:marLeft w:val="0"/>
      <w:marRight w:val="0"/>
      <w:marTop w:val="0"/>
      <w:marBottom w:val="0"/>
      <w:divBdr>
        <w:top w:val="none" w:sz="0" w:space="0" w:color="auto"/>
        <w:left w:val="none" w:sz="0" w:space="0" w:color="auto"/>
        <w:bottom w:val="none" w:sz="0" w:space="0" w:color="auto"/>
        <w:right w:val="none" w:sz="0" w:space="0" w:color="auto"/>
      </w:divBdr>
    </w:div>
    <w:div w:id="1199004586">
      <w:bodyDiv w:val="1"/>
      <w:marLeft w:val="0"/>
      <w:marRight w:val="0"/>
      <w:marTop w:val="0"/>
      <w:marBottom w:val="0"/>
      <w:divBdr>
        <w:top w:val="none" w:sz="0" w:space="0" w:color="auto"/>
        <w:left w:val="none" w:sz="0" w:space="0" w:color="auto"/>
        <w:bottom w:val="none" w:sz="0" w:space="0" w:color="auto"/>
        <w:right w:val="none" w:sz="0" w:space="0" w:color="auto"/>
      </w:divBdr>
    </w:div>
    <w:div w:id="1202135596">
      <w:bodyDiv w:val="1"/>
      <w:marLeft w:val="0"/>
      <w:marRight w:val="0"/>
      <w:marTop w:val="0"/>
      <w:marBottom w:val="0"/>
      <w:divBdr>
        <w:top w:val="none" w:sz="0" w:space="0" w:color="auto"/>
        <w:left w:val="none" w:sz="0" w:space="0" w:color="auto"/>
        <w:bottom w:val="none" w:sz="0" w:space="0" w:color="auto"/>
        <w:right w:val="none" w:sz="0" w:space="0" w:color="auto"/>
      </w:divBdr>
    </w:div>
    <w:div w:id="1223637250">
      <w:bodyDiv w:val="1"/>
      <w:marLeft w:val="0"/>
      <w:marRight w:val="0"/>
      <w:marTop w:val="0"/>
      <w:marBottom w:val="0"/>
      <w:divBdr>
        <w:top w:val="none" w:sz="0" w:space="0" w:color="auto"/>
        <w:left w:val="none" w:sz="0" w:space="0" w:color="auto"/>
        <w:bottom w:val="none" w:sz="0" w:space="0" w:color="auto"/>
        <w:right w:val="none" w:sz="0" w:space="0" w:color="auto"/>
      </w:divBdr>
    </w:div>
    <w:div w:id="1224296478">
      <w:bodyDiv w:val="1"/>
      <w:marLeft w:val="0"/>
      <w:marRight w:val="0"/>
      <w:marTop w:val="0"/>
      <w:marBottom w:val="0"/>
      <w:divBdr>
        <w:top w:val="none" w:sz="0" w:space="0" w:color="auto"/>
        <w:left w:val="none" w:sz="0" w:space="0" w:color="auto"/>
        <w:bottom w:val="none" w:sz="0" w:space="0" w:color="auto"/>
        <w:right w:val="none" w:sz="0" w:space="0" w:color="auto"/>
      </w:divBdr>
    </w:div>
    <w:div w:id="1227255160">
      <w:bodyDiv w:val="1"/>
      <w:marLeft w:val="0"/>
      <w:marRight w:val="0"/>
      <w:marTop w:val="0"/>
      <w:marBottom w:val="0"/>
      <w:divBdr>
        <w:top w:val="none" w:sz="0" w:space="0" w:color="auto"/>
        <w:left w:val="none" w:sz="0" w:space="0" w:color="auto"/>
        <w:bottom w:val="none" w:sz="0" w:space="0" w:color="auto"/>
        <w:right w:val="none" w:sz="0" w:space="0" w:color="auto"/>
      </w:divBdr>
    </w:div>
    <w:div w:id="1280188481">
      <w:bodyDiv w:val="1"/>
      <w:marLeft w:val="0"/>
      <w:marRight w:val="0"/>
      <w:marTop w:val="0"/>
      <w:marBottom w:val="0"/>
      <w:divBdr>
        <w:top w:val="none" w:sz="0" w:space="0" w:color="auto"/>
        <w:left w:val="none" w:sz="0" w:space="0" w:color="auto"/>
        <w:bottom w:val="none" w:sz="0" w:space="0" w:color="auto"/>
        <w:right w:val="none" w:sz="0" w:space="0" w:color="auto"/>
      </w:divBdr>
    </w:div>
    <w:div w:id="1313439124">
      <w:bodyDiv w:val="1"/>
      <w:marLeft w:val="0"/>
      <w:marRight w:val="0"/>
      <w:marTop w:val="0"/>
      <w:marBottom w:val="0"/>
      <w:divBdr>
        <w:top w:val="none" w:sz="0" w:space="0" w:color="auto"/>
        <w:left w:val="none" w:sz="0" w:space="0" w:color="auto"/>
        <w:bottom w:val="none" w:sz="0" w:space="0" w:color="auto"/>
        <w:right w:val="none" w:sz="0" w:space="0" w:color="auto"/>
      </w:divBdr>
    </w:div>
    <w:div w:id="1326279461">
      <w:bodyDiv w:val="1"/>
      <w:marLeft w:val="0"/>
      <w:marRight w:val="0"/>
      <w:marTop w:val="0"/>
      <w:marBottom w:val="0"/>
      <w:divBdr>
        <w:top w:val="none" w:sz="0" w:space="0" w:color="auto"/>
        <w:left w:val="none" w:sz="0" w:space="0" w:color="auto"/>
        <w:bottom w:val="none" w:sz="0" w:space="0" w:color="auto"/>
        <w:right w:val="none" w:sz="0" w:space="0" w:color="auto"/>
      </w:divBdr>
    </w:div>
    <w:div w:id="1333222380">
      <w:bodyDiv w:val="1"/>
      <w:marLeft w:val="0"/>
      <w:marRight w:val="0"/>
      <w:marTop w:val="0"/>
      <w:marBottom w:val="0"/>
      <w:divBdr>
        <w:top w:val="none" w:sz="0" w:space="0" w:color="auto"/>
        <w:left w:val="none" w:sz="0" w:space="0" w:color="auto"/>
        <w:bottom w:val="none" w:sz="0" w:space="0" w:color="auto"/>
        <w:right w:val="none" w:sz="0" w:space="0" w:color="auto"/>
      </w:divBdr>
    </w:div>
    <w:div w:id="1378123352">
      <w:bodyDiv w:val="1"/>
      <w:marLeft w:val="0"/>
      <w:marRight w:val="0"/>
      <w:marTop w:val="0"/>
      <w:marBottom w:val="0"/>
      <w:divBdr>
        <w:top w:val="none" w:sz="0" w:space="0" w:color="auto"/>
        <w:left w:val="none" w:sz="0" w:space="0" w:color="auto"/>
        <w:bottom w:val="none" w:sz="0" w:space="0" w:color="auto"/>
        <w:right w:val="none" w:sz="0" w:space="0" w:color="auto"/>
      </w:divBdr>
    </w:div>
    <w:div w:id="1382242498">
      <w:bodyDiv w:val="1"/>
      <w:marLeft w:val="0"/>
      <w:marRight w:val="0"/>
      <w:marTop w:val="0"/>
      <w:marBottom w:val="0"/>
      <w:divBdr>
        <w:top w:val="none" w:sz="0" w:space="0" w:color="auto"/>
        <w:left w:val="none" w:sz="0" w:space="0" w:color="auto"/>
        <w:bottom w:val="none" w:sz="0" w:space="0" w:color="auto"/>
        <w:right w:val="none" w:sz="0" w:space="0" w:color="auto"/>
      </w:divBdr>
    </w:div>
    <w:div w:id="1384787346">
      <w:bodyDiv w:val="1"/>
      <w:marLeft w:val="0"/>
      <w:marRight w:val="0"/>
      <w:marTop w:val="0"/>
      <w:marBottom w:val="0"/>
      <w:divBdr>
        <w:top w:val="none" w:sz="0" w:space="0" w:color="auto"/>
        <w:left w:val="none" w:sz="0" w:space="0" w:color="auto"/>
        <w:bottom w:val="none" w:sz="0" w:space="0" w:color="auto"/>
        <w:right w:val="none" w:sz="0" w:space="0" w:color="auto"/>
      </w:divBdr>
    </w:div>
    <w:div w:id="1410036350">
      <w:bodyDiv w:val="1"/>
      <w:marLeft w:val="0"/>
      <w:marRight w:val="0"/>
      <w:marTop w:val="0"/>
      <w:marBottom w:val="0"/>
      <w:divBdr>
        <w:top w:val="none" w:sz="0" w:space="0" w:color="auto"/>
        <w:left w:val="none" w:sz="0" w:space="0" w:color="auto"/>
        <w:bottom w:val="none" w:sz="0" w:space="0" w:color="auto"/>
        <w:right w:val="none" w:sz="0" w:space="0" w:color="auto"/>
      </w:divBdr>
    </w:div>
    <w:div w:id="1433862171">
      <w:bodyDiv w:val="1"/>
      <w:marLeft w:val="0"/>
      <w:marRight w:val="0"/>
      <w:marTop w:val="0"/>
      <w:marBottom w:val="0"/>
      <w:divBdr>
        <w:top w:val="none" w:sz="0" w:space="0" w:color="auto"/>
        <w:left w:val="none" w:sz="0" w:space="0" w:color="auto"/>
        <w:bottom w:val="none" w:sz="0" w:space="0" w:color="auto"/>
        <w:right w:val="none" w:sz="0" w:space="0" w:color="auto"/>
      </w:divBdr>
    </w:div>
    <w:div w:id="1446921943">
      <w:bodyDiv w:val="1"/>
      <w:marLeft w:val="0"/>
      <w:marRight w:val="0"/>
      <w:marTop w:val="0"/>
      <w:marBottom w:val="0"/>
      <w:divBdr>
        <w:top w:val="none" w:sz="0" w:space="0" w:color="auto"/>
        <w:left w:val="none" w:sz="0" w:space="0" w:color="auto"/>
        <w:bottom w:val="none" w:sz="0" w:space="0" w:color="auto"/>
        <w:right w:val="none" w:sz="0" w:space="0" w:color="auto"/>
      </w:divBdr>
    </w:div>
    <w:div w:id="1448741074">
      <w:bodyDiv w:val="1"/>
      <w:marLeft w:val="0"/>
      <w:marRight w:val="0"/>
      <w:marTop w:val="0"/>
      <w:marBottom w:val="0"/>
      <w:divBdr>
        <w:top w:val="none" w:sz="0" w:space="0" w:color="auto"/>
        <w:left w:val="none" w:sz="0" w:space="0" w:color="auto"/>
        <w:bottom w:val="none" w:sz="0" w:space="0" w:color="auto"/>
        <w:right w:val="none" w:sz="0" w:space="0" w:color="auto"/>
      </w:divBdr>
    </w:div>
    <w:div w:id="1466122222">
      <w:bodyDiv w:val="1"/>
      <w:marLeft w:val="0"/>
      <w:marRight w:val="0"/>
      <w:marTop w:val="0"/>
      <w:marBottom w:val="0"/>
      <w:divBdr>
        <w:top w:val="none" w:sz="0" w:space="0" w:color="auto"/>
        <w:left w:val="none" w:sz="0" w:space="0" w:color="auto"/>
        <w:bottom w:val="none" w:sz="0" w:space="0" w:color="auto"/>
        <w:right w:val="none" w:sz="0" w:space="0" w:color="auto"/>
      </w:divBdr>
    </w:div>
    <w:div w:id="1522628862">
      <w:bodyDiv w:val="1"/>
      <w:marLeft w:val="0"/>
      <w:marRight w:val="0"/>
      <w:marTop w:val="0"/>
      <w:marBottom w:val="0"/>
      <w:divBdr>
        <w:top w:val="none" w:sz="0" w:space="0" w:color="auto"/>
        <w:left w:val="none" w:sz="0" w:space="0" w:color="auto"/>
        <w:bottom w:val="none" w:sz="0" w:space="0" w:color="auto"/>
        <w:right w:val="none" w:sz="0" w:space="0" w:color="auto"/>
      </w:divBdr>
    </w:div>
    <w:div w:id="1538006354">
      <w:bodyDiv w:val="1"/>
      <w:marLeft w:val="0"/>
      <w:marRight w:val="0"/>
      <w:marTop w:val="0"/>
      <w:marBottom w:val="0"/>
      <w:divBdr>
        <w:top w:val="none" w:sz="0" w:space="0" w:color="auto"/>
        <w:left w:val="none" w:sz="0" w:space="0" w:color="auto"/>
        <w:bottom w:val="none" w:sz="0" w:space="0" w:color="auto"/>
        <w:right w:val="none" w:sz="0" w:space="0" w:color="auto"/>
      </w:divBdr>
    </w:div>
    <w:div w:id="1539975834">
      <w:bodyDiv w:val="1"/>
      <w:marLeft w:val="0"/>
      <w:marRight w:val="0"/>
      <w:marTop w:val="0"/>
      <w:marBottom w:val="0"/>
      <w:divBdr>
        <w:top w:val="none" w:sz="0" w:space="0" w:color="auto"/>
        <w:left w:val="none" w:sz="0" w:space="0" w:color="auto"/>
        <w:bottom w:val="none" w:sz="0" w:space="0" w:color="auto"/>
        <w:right w:val="none" w:sz="0" w:space="0" w:color="auto"/>
      </w:divBdr>
    </w:div>
    <w:div w:id="1548370483">
      <w:bodyDiv w:val="1"/>
      <w:marLeft w:val="0"/>
      <w:marRight w:val="0"/>
      <w:marTop w:val="0"/>
      <w:marBottom w:val="0"/>
      <w:divBdr>
        <w:top w:val="none" w:sz="0" w:space="0" w:color="auto"/>
        <w:left w:val="none" w:sz="0" w:space="0" w:color="auto"/>
        <w:bottom w:val="none" w:sz="0" w:space="0" w:color="auto"/>
        <w:right w:val="none" w:sz="0" w:space="0" w:color="auto"/>
      </w:divBdr>
    </w:div>
    <w:div w:id="1554923101">
      <w:bodyDiv w:val="1"/>
      <w:marLeft w:val="0"/>
      <w:marRight w:val="0"/>
      <w:marTop w:val="0"/>
      <w:marBottom w:val="0"/>
      <w:divBdr>
        <w:top w:val="none" w:sz="0" w:space="0" w:color="auto"/>
        <w:left w:val="none" w:sz="0" w:space="0" w:color="auto"/>
        <w:bottom w:val="none" w:sz="0" w:space="0" w:color="auto"/>
        <w:right w:val="none" w:sz="0" w:space="0" w:color="auto"/>
      </w:divBdr>
      <w:divsChild>
        <w:div w:id="2020884874">
          <w:marLeft w:val="0"/>
          <w:marRight w:val="0"/>
          <w:marTop w:val="34"/>
          <w:marBottom w:val="34"/>
          <w:divBdr>
            <w:top w:val="none" w:sz="0" w:space="0" w:color="auto"/>
            <w:left w:val="none" w:sz="0" w:space="0" w:color="auto"/>
            <w:bottom w:val="none" w:sz="0" w:space="0" w:color="auto"/>
            <w:right w:val="none" w:sz="0" w:space="0" w:color="auto"/>
          </w:divBdr>
        </w:div>
      </w:divsChild>
    </w:div>
    <w:div w:id="1599097140">
      <w:bodyDiv w:val="1"/>
      <w:marLeft w:val="0"/>
      <w:marRight w:val="0"/>
      <w:marTop w:val="0"/>
      <w:marBottom w:val="0"/>
      <w:divBdr>
        <w:top w:val="none" w:sz="0" w:space="0" w:color="auto"/>
        <w:left w:val="none" w:sz="0" w:space="0" w:color="auto"/>
        <w:bottom w:val="none" w:sz="0" w:space="0" w:color="auto"/>
        <w:right w:val="none" w:sz="0" w:space="0" w:color="auto"/>
      </w:divBdr>
    </w:div>
    <w:div w:id="1619951442">
      <w:bodyDiv w:val="1"/>
      <w:marLeft w:val="0"/>
      <w:marRight w:val="0"/>
      <w:marTop w:val="0"/>
      <w:marBottom w:val="0"/>
      <w:divBdr>
        <w:top w:val="none" w:sz="0" w:space="0" w:color="auto"/>
        <w:left w:val="none" w:sz="0" w:space="0" w:color="auto"/>
        <w:bottom w:val="none" w:sz="0" w:space="0" w:color="auto"/>
        <w:right w:val="none" w:sz="0" w:space="0" w:color="auto"/>
      </w:divBdr>
    </w:div>
    <w:div w:id="1643656510">
      <w:bodyDiv w:val="1"/>
      <w:marLeft w:val="0"/>
      <w:marRight w:val="0"/>
      <w:marTop w:val="0"/>
      <w:marBottom w:val="0"/>
      <w:divBdr>
        <w:top w:val="none" w:sz="0" w:space="0" w:color="auto"/>
        <w:left w:val="none" w:sz="0" w:space="0" w:color="auto"/>
        <w:bottom w:val="none" w:sz="0" w:space="0" w:color="auto"/>
        <w:right w:val="none" w:sz="0" w:space="0" w:color="auto"/>
      </w:divBdr>
    </w:div>
    <w:div w:id="1657151676">
      <w:bodyDiv w:val="1"/>
      <w:marLeft w:val="0"/>
      <w:marRight w:val="0"/>
      <w:marTop w:val="0"/>
      <w:marBottom w:val="0"/>
      <w:divBdr>
        <w:top w:val="none" w:sz="0" w:space="0" w:color="auto"/>
        <w:left w:val="none" w:sz="0" w:space="0" w:color="auto"/>
        <w:bottom w:val="none" w:sz="0" w:space="0" w:color="auto"/>
        <w:right w:val="none" w:sz="0" w:space="0" w:color="auto"/>
      </w:divBdr>
    </w:div>
    <w:div w:id="1657494677">
      <w:bodyDiv w:val="1"/>
      <w:marLeft w:val="0"/>
      <w:marRight w:val="0"/>
      <w:marTop w:val="0"/>
      <w:marBottom w:val="0"/>
      <w:divBdr>
        <w:top w:val="none" w:sz="0" w:space="0" w:color="auto"/>
        <w:left w:val="none" w:sz="0" w:space="0" w:color="auto"/>
        <w:bottom w:val="none" w:sz="0" w:space="0" w:color="auto"/>
        <w:right w:val="none" w:sz="0" w:space="0" w:color="auto"/>
      </w:divBdr>
    </w:div>
    <w:div w:id="1674533163">
      <w:bodyDiv w:val="1"/>
      <w:marLeft w:val="0"/>
      <w:marRight w:val="0"/>
      <w:marTop w:val="0"/>
      <w:marBottom w:val="0"/>
      <w:divBdr>
        <w:top w:val="none" w:sz="0" w:space="0" w:color="auto"/>
        <w:left w:val="none" w:sz="0" w:space="0" w:color="auto"/>
        <w:bottom w:val="none" w:sz="0" w:space="0" w:color="auto"/>
        <w:right w:val="none" w:sz="0" w:space="0" w:color="auto"/>
      </w:divBdr>
    </w:div>
    <w:div w:id="1676834321">
      <w:bodyDiv w:val="1"/>
      <w:marLeft w:val="0"/>
      <w:marRight w:val="0"/>
      <w:marTop w:val="0"/>
      <w:marBottom w:val="0"/>
      <w:divBdr>
        <w:top w:val="none" w:sz="0" w:space="0" w:color="auto"/>
        <w:left w:val="none" w:sz="0" w:space="0" w:color="auto"/>
        <w:bottom w:val="none" w:sz="0" w:space="0" w:color="auto"/>
        <w:right w:val="none" w:sz="0" w:space="0" w:color="auto"/>
      </w:divBdr>
    </w:div>
    <w:div w:id="1733770555">
      <w:bodyDiv w:val="1"/>
      <w:marLeft w:val="0"/>
      <w:marRight w:val="0"/>
      <w:marTop w:val="0"/>
      <w:marBottom w:val="0"/>
      <w:divBdr>
        <w:top w:val="none" w:sz="0" w:space="0" w:color="auto"/>
        <w:left w:val="none" w:sz="0" w:space="0" w:color="auto"/>
        <w:bottom w:val="none" w:sz="0" w:space="0" w:color="auto"/>
        <w:right w:val="none" w:sz="0" w:space="0" w:color="auto"/>
      </w:divBdr>
    </w:div>
    <w:div w:id="1744133761">
      <w:bodyDiv w:val="1"/>
      <w:marLeft w:val="0"/>
      <w:marRight w:val="0"/>
      <w:marTop w:val="0"/>
      <w:marBottom w:val="0"/>
      <w:divBdr>
        <w:top w:val="none" w:sz="0" w:space="0" w:color="auto"/>
        <w:left w:val="none" w:sz="0" w:space="0" w:color="auto"/>
        <w:bottom w:val="none" w:sz="0" w:space="0" w:color="auto"/>
        <w:right w:val="none" w:sz="0" w:space="0" w:color="auto"/>
      </w:divBdr>
    </w:div>
    <w:div w:id="1745368655">
      <w:bodyDiv w:val="1"/>
      <w:marLeft w:val="0"/>
      <w:marRight w:val="0"/>
      <w:marTop w:val="0"/>
      <w:marBottom w:val="0"/>
      <w:divBdr>
        <w:top w:val="none" w:sz="0" w:space="0" w:color="auto"/>
        <w:left w:val="none" w:sz="0" w:space="0" w:color="auto"/>
        <w:bottom w:val="none" w:sz="0" w:space="0" w:color="auto"/>
        <w:right w:val="none" w:sz="0" w:space="0" w:color="auto"/>
      </w:divBdr>
    </w:div>
    <w:div w:id="1762989838">
      <w:bodyDiv w:val="1"/>
      <w:marLeft w:val="0"/>
      <w:marRight w:val="0"/>
      <w:marTop w:val="0"/>
      <w:marBottom w:val="0"/>
      <w:divBdr>
        <w:top w:val="none" w:sz="0" w:space="0" w:color="auto"/>
        <w:left w:val="none" w:sz="0" w:space="0" w:color="auto"/>
        <w:bottom w:val="none" w:sz="0" w:space="0" w:color="auto"/>
        <w:right w:val="none" w:sz="0" w:space="0" w:color="auto"/>
      </w:divBdr>
    </w:div>
    <w:div w:id="1778524139">
      <w:bodyDiv w:val="1"/>
      <w:marLeft w:val="0"/>
      <w:marRight w:val="0"/>
      <w:marTop w:val="0"/>
      <w:marBottom w:val="0"/>
      <w:divBdr>
        <w:top w:val="none" w:sz="0" w:space="0" w:color="auto"/>
        <w:left w:val="none" w:sz="0" w:space="0" w:color="auto"/>
        <w:bottom w:val="none" w:sz="0" w:space="0" w:color="auto"/>
        <w:right w:val="none" w:sz="0" w:space="0" w:color="auto"/>
      </w:divBdr>
    </w:div>
    <w:div w:id="1783767930">
      <w:bodyDiv w:val="1"/>
      <w:marLeft w:val="0"/>
      <w:marRight w:val="0"/>
      <w:marTop w:val="0"/>
      <w:marBottom w:val="0"/>
      <w:divBdr>
        <w:top w:val="none" w:sz="0" w:space="0" w:color="auto"/>
        <w:left w:val="none" w:sz="0" w:space="0" w:color="auto"/>
        <w:bottom w:val="none" w:sz="0" w:space="0" w:color="auto"/>
        <w:right w:val="none" w:sz="0" w:space="0" w:color="auto"/>
      </w:divBdr>
    </w:div>
    <w:div w:id="1806192435">
      <w:bodyDiv w:val="1"/>
      <w:marLeft w:val="0"/>
      <w:marRight w:val="0"/>
      <w:marTop w:val="0"/>
      <w:marBottom w:val="0"/>
      <w:divBdr>
        <w:top w:val="none" w:sz="0" w:space="0" w:color="auto"/>
        <w:left w:val="none" w:sz="0" w:space="0" w:color="auto"/>
        <w:bottom w:val="none" w:sz="0" w:space="0" w:color="auto"/>
        <w:right w:val="none" w:sz="0" w:space="0" w:color="auto"/>
      </w:divBdr>
    </w:div>
    <w:div w:id="1806462823">
      <w:bodyDiv w:val="1"/>
      <w:marLeft w:val="0"/>
      <w:marRight w:val="0"/>
      <w:marTop w:val="0"/>
      <w:marBottom w:val="0"/>
      <w:divBdr>
        <w:top w:val="none" w:sz="0" w:space="0" w:color="auto"/>
        <w:left w:val="none" w:sz="0" w:space="0" w:color="auto"/>
        <w:bottom w:val="none" w:sz="0" w:space="0" w:color="auto"/>
        <w:right w:val="none" w:sz="0" w:space="0" w:color="auto"/>
      </w:divBdr>
    </w:div>
    <w:div w:id="1849440313">
      <w:bodyDiv w:val="1"/>
      <w:marLeft w:val="0"/>
      <w:marRight w:val="0"/>
      <w:marTop w:val="0"/>
      <w:marBottom w:val="0"/>
      <w:divBdr>
        <w:top w:val="none" w:sz="0" w:space="0" w:color="auto"/>
        <w:left w:val="none" w:sz="0" w:space="0" w:color="auto"/>
        <w:bottom w:val="none" w:sz="0" w:space="0" w:color="auto"/>
        <w:right w:val="none" w:sz="0" w:space="0" w:color="auto"/>
      </w:divBdr>
    </w:div>
    <w:div w:id="1867400171">
      <w:bodyDiv w:val="1"/>
      <w:marLeft w:val="0"/>
      <w:marRight w:val="0"/>
      <w:marTop w:val="0"/>
      <w:marBottom w:val="0"/>
      <w:divBdr>
        <w:top w:val="none" w:sz="0" w:space="0" w:color="auto"/>
        <w:left w:val="none" w:sz="0" w:space="0" w:color="auto"/>
        <w:bottom w:val="none" w:sz="0" w:space="0" w:color="auto"/>
        <w:right w:val="none" w:sz="0" w:space="0" w:color="auto"/>
      </w:divBdr>
    </w:div>
    <w:div w:id="1875775647">
      <w:bodyDiv w:val="1"/>
      <w:marLeft w:val="0"/>
      <w:marRight w:val="0"/>
      <w:marTop w:val="0"/>
      <w:marBottom w:val="0"/>
      <w:divBdr>
        <w:top w:val="none" w:sz="0" w:space="0" w:color="auto"/>
        <w:left w:val="none" w:sz="0" w:space="0" w:color="auto"/>
        <w:bottom w:val="none" w:sz="0" w:space="0" w:color="auto"/>
        <w:right w:val="none" w:sz="0" w:space="0" w:color="auto"/>
      </w:divBdr>
    </w:div>
    <w:div w:id="1880438110">
      <w:bodyDiv w:val="1"/>
      <w:marLeft w:val="0"/>
      <w:marRight w:val="0"/>
      <w:marTop w:val="0"/>
      <w:marBottom w:val="0"/>
      <w:divBdr>
        <w:top w:val="none" w:sz="0" w:space="0" w:color="auto"/>
        <w:left w:val="none" w:sz="0" w:space="0" w:color="auto"/>
        <w:bottom w:val="none" w:sz="0" w:space="0" w:color="auto"/>
        <w:right w:val="none" w:sz="0" w:space="0" w:color="auto"/>
      </w:divBdr>
    </w:div>
    <w:div w:id="1892840539">
      <w:bodyDiv w:val="1"/>
      <w:marLeft w:val="0"/>
      <w:marRight w:val="0"/>
      <w:marTop w:val="0"/>
      <w:marBottom w:val="0"/>
      <w:divBdr>
        <w:top w:val="none" w:sz="0" w:space="0" w:color="auto"/>
        <w:left w:val="none" w:sz="0" w:space="0" w:color="auto"/>
        <w:bottom w:val="none" w:sz="0" w:space="0" w:color="auto"/>
        <w:right w:val="none" w:sz="0" w:space="0" w:color="auto"/>
      </w:divBdr>
    </w:div>
    <w:div w:id="1893997363">
      <w:bodyDiv w:val="1"/>
      <w:marLeft w:val="0"/>
      <w:marRight w:val="0"/>
      <w:marTop w:val="0"/>
      <w:marBottom w:val="0"/>
      <w:divBdr>
        <w:top w:val="none" w:sz="0" w:space="0" w:color="auto"/>
        <w:left w:val="none" w:sz="0" w:space="0" w:color="auto"/>
        <w:bottom w:val="none" w:sz="0" w:space="0" w:color="auto"/>
        <w:right w:val="none" w:sz="0" w:space="0" w:color="auto"/>
      </w:divBdr>
    </w:div>
    <w:div w:id="1896963142">
      <w:bodyDiv w:val="1"/>
      <w:marLeft w:val="0"/>
      <w:marRight w:val="0"/>
      <w:marTop w:val="0"/>
      <w:marBottom w:val="0"/>
      <w:divBdr>
        <w:top w:val="none" w:sz="0" w:space="0" w:color="auto"/>
        <w:left w:val="none" w:sz="0" w:space="0" w:color="auto"/>
        <w:bottom w:val="none" w:sz="0" w:space="0" w:color="auto"/>
        <w:right w:val="none" w:sz="0" w:space="0" w:color="auto"/>
      </w:divBdr>
    </w:div>
    <w:div w:id="1936866517">
      <w:bodyDiv w:val="1"/>
      <w:marLeft w:val="0"/>
      <w:marRight w:val="0"/>
      <w:marTop w:val="0"/>
      <w:marBottom w:val="0"/>
      <w:divBdr>
        <w:top w:val="none" w:sz="0" w:space="0" w:color="auto"/>
        <w:left w:val="none" w:sz="0" w:space="0" w:color="auto"/>
        <w:bottom w:val="none" w:sz="0" w:space="0" w:color="auto"/>
        <w:right w:val="none" w:sz="0" w:space="0" w:color="auto"/>
      </w:divBdr>
    </w:div>
    <w:div w:id="2016227518">
      <w:bodyDiv w:val="1"/>
      <w:marLeft w:val="0"/>
      <w:marRight w:val="0"/>
      <w:marTop w:val="0"/>
      <w:marBottom w:val="0"/>
      <w:divBdr>
        <w:top w:val="none" w:sz="0" w:space="0" w:color="auto"/>
        <w:left w:val="none" w:sz="0" w:space="0" w:color="auto"/>
        <w:bottom w:val="none" w:sz="0" w:space="0" w:color="auto"/>
        <w:right w:val="none" w:sz="0" w:space="0" w:color="auto"/>
      </w:divBdr>
    </w:div>
    <w:div w:id="2080472683">
      <w:bodyDiv w:val="1"/>
      <w:marLeft w:val="0"/>
      <w:marRight w:val="0"/>
      <w:marTop w:val="0"/>
      <w:marBottom w:val="0"/>
      <w:divBdr>
        <w:top w:val="none" w:sz="0" w:space="0" w:color="auto"/>
        <w:left w:val="none" w:sz="0" w:space="0" w:color="auto"/>
        <w:bottom w:val="none" w:sz="0" w:space="0" w:color="auto"/>
        <w:right w:val="none" w:sz="0" w:space="0" w:color="auto"/>
      </w:divBdr>
    </w:div>
    <w:div w:id="2111120498">
      <w:bodyDiv w:val="1"/>
      <w:marLeft w:val="0"/>
      <w:marRight w:val="0"/>
      <w:marTop w:val="0"/>
      <w:marBottom w:val="0"/>
      <w:divBdr>
        <w:top w:val="none" w:sz="0" w:space="0" w:color="auto"/>
        <w:left w:val="none" w:sz="0" w:space="0" w:color="auto"/>
        <w:bottom w:val="none" w:sz="0" w:space="0" w:color="auto"/>
        <w:right w:val="none" w:sz="0" w:space="0" w:color="auto"/>
      </w:divBdr>
      <w:divsChild>
        <w:div w:id="1871607122">
          <w:marLeft w:val="0"/>
          <w:marRight w:val="0"/>
          <w:marTop w:val="288"/>
          <w:marBottom w:val="100"/>
          <w:divBdr>
            <w:top w:val="none" w:sz="0" w:space="0" w:color="auto"/>
            <w:left w:val="none" w:sz="0" w:space="0" w:color="auto"/>
            <w:bottom w:val="none" w:sz="0" w:space="0" w:color="auto"/>
            <w:right w:val="none" w:sz="0" w:space="0" w:color="auto"/>
          </w:divBdr>
          <w:divsChild>
            <w:div w:id="15979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7206">
      <w:bodyDiv w:val="1"/>
      <w:marLeft w:val="0"/>
      <w:marRight w:val="0"/>
      <w:marTop w:val="0"/>
      <w:marBottom w:val="0"/>
      <w:divBdr>
        <w:top w:val="none" w:sz="0" w:space="0" w:color="auto"/>
        <w:left w:val="none" w:sz="0" w:space="0" w:color="auto"/>
        <w:bottom w:val="none" w:sz="0" w:space="0" w:color="auto"/>
        <w:right w:val="none" w:sz="0" w:space="0" w:color="auto"/>
      </w:divBdr>
    </w:div>
    <w:div w:id="2114015867">
      <w:bodyDiv w:val="1"/>
      <w:marLeft w:val="0"/>
      <w:marRight w:val="0"/>
      <w:marTop w:val="0"/>
      <w:marBottom w:val="0"/>
      <w:divBdr>
        <w:top w:val="none" w:sz="0" w:space="0" w:color="auto"/>
        <w:left w:val="none" w:sz="0" w:space="0" w:color="auto"/>
        <w:bottom w:val="none" w:sz="0" w:space="0" w:color="auto"/>
        <w:right w:val="none" w:sz="0" w:space="0" w:color="auto"/>
      </w:divBdr>
    </w:div>
    <w:div w:id="21217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EH/DFDCS/MCSB/Pages/Rulemaking.aspx"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egulations@cdph.ca.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ucsf.idm.oclc.org/pubmed/2543018" TargetMode="External"/><Relationship Id="rId13" Type="http://schemas.openxmlformats.org/officeDocument/2006/relationships/hyperlink" Target="https://www-tandfonline-com.ucsf.idm.oclc.org/doi/full/10.1080/09540261.2018.1460334" TargetMode="External"/><Relationship Id="rId18" Type="http://schemas.openxmlformats.org/officeDocument/2006/relationships/hyperlink" Target="https://www-ncbi-nlm-nih-gov.ucsf.idm.oclc.org/pubmed/?term=Smith%20NE%5BAuthor%5D&amp;cauthor=true&amp;cauthor_uid=28888560" TargetMode="External"/><Relationship Id="rId26" Type="http://schemas.openxmlformats.org/officeDocument/2006/relationships/hyperlink" Target="https://www-ncbi-nlm-nih-gov.ucsf.idm.oclc.org/pubmed/26203632" TargetMode="External"/><Relationship Id="rId3" Type="http://schemas.openxmlformats.org/officeDocument/2006/relationships/hyperlink" Target="https://www-ncbi-nlm-nih-gov.ucsf.idm.oclc.org/pubmed/?term=Smart%20R%5BAuthor%5D&amp;cauthor=true&amp;cauthor_uid=28556310" TargetMode="External"/><Relationship Id="rId21" Type="http://schemas.openxmlformats.org/officeDocument/2006/relationships/hyperlink" Target="https://www-ncbi-nlm-nih-gov.ucsf.idm.oclc.org/pubmed/?term=Le%20Lait%20MC%5BAuthor%5D&amp;cauthor=true&amp;cauthor_uid=27454910" TargetMode="External"/><Relationship Id="rId7" Type="http://schemas.openxmlformats.org/officeDocument/2006/relationships/hyperlink" Target="http://dx.doi.org.ucsf.idm.oclc.org/10.1111/add.12508" TargetMode="External"/><Relationship Id="rId12" Type="http://schemas.openxmlformats.org/officeDocument/2006/relationships/hyperlink" Target="http://dx.doi.org.ucsf.idm.oclc.org/10.1038/sj.npp.1300496" TargetMode="External"/><Relationship Id="rId17" Type="http://schemas.openxmlformats.org/officeDocument/2006/relationships/hyperlink" Target="https://www-ncbi-nlm-nih-gov.ucsf.idm.oclc.org/pubmed/?term=Richards%20JR%5BAuthor%5D&amp;cauthor=true&amp;cauthor_uid=28888560" TargetMode="External"/><Relationship Id="rId25" Type="http://schemas.openxmlformats.org/officeDocument/2006/relationships/hyperlink" Target="https://www-ncbi-nlm-nih-gov.ucsf.idm.oclc.org/pubmed/27454910" TargetMode="External"/><Relationship Id="rId2" Type="http://schemas.openxmlformats.org/officeDocument/2006/relationships/hyperlink" Target="http://dx.doi.org.ucsf.idm.oclc.org/10.1016/j.biopsych.2016.01.004" TargetMode="External"/><Relationship Id="rId16" Type="http://schemas.openxmlformats.org/officeDocument/2006/relationships/hyperlink" Target="https://www-ncbi-nlm-nih-gov.ucsf.idm.oclc.org/pubmed/?term=Examining+the+profile+of+high-potency+cannabis+and+its+association+with+severity+of+cannabis+dependence" TargetMode="External"/><Relationship Id="rId20" Type="http://schemas.openxmlformats.org/officeDocument/2006/relationships/hyperlink" Target="https://www-ncbi-nlm-nih-gov.ucsf.idm.oclc.org/pubmed/28888560" TargetMode="External"/><Relationship Id="rId29" Type="http://schemas.openxmlformats.org/officeDocument/2006/relationships/hyperlink" Target="https://www-ncbi-nlm-nih-gov.ucsf.idm.oclc.org/pubmed/29406477" TargetMode="External"/><Relationship Id="rId1" Type="http://schemas.openxmlformats.org/officeDocument/2006/relationships/hyperlink" Target="https://www.leafly.com/news/cannabis-101/vaping-versus-dabbing-why-youshould-care-about-heat" TargetMode="External"/><Relationship Id="rId6" Type="http://schemas.openxmlformats.org/officeDocument/2006/relationships/hyperlink" Target="https://www-ncbi-nlm-nih-gov.ucsf.idm.oclc.org/pubmed/28556310" TargetMode="External"/><Relationship Id="rId11" Type="http://schemas.openxmlformats.org/officeDocument/2006/relationships/hyperlink" Target="http://dx.doi.org.ucsf.idm.oclc.org/10.1016/s2215-0366(14)00117-5" TargetMode="External"/><Relationship Id="rId24" Type="http://schemas.openxmlformats.org/officeDocument/2006/relationships/hyperlink" Target="https://www-ncbi-nlm-nih-gov.ucsf.idm.oclc.org/pubmed/?term=Roosevelt%20G%5BAuthor%5D&amp;cauthor=true&amp;cauthor_uid=27454910" TargetMode="External"/><Relationship Id="rId32" Type="http://schemas.openxmlformats.org/officeDocument/2006/relationships/hyperlink" Target="http://www.ncsl.org/research/ethics/50-state-table-revolving-door-prohibitions.aspx" TargetMode="External"/><Relationship Id="rId5" Type="http://schemas.openxmlformats.org/officeDocument/2006/relationships/hyperlink" Target="https://www-ncbi-nlm-nih-gov.ucsf.idm.oclc.org/pubmed/?term=Davenport%20S%5BAuthor%5D&amp;cauthor=true&amp;cauthor_uid=28556310" TargetMode="External"/><Relationship Id="rId15" Type="http://schemas.openxmlformats.org/officeDocument/2006/relationships/hyperlink" Target="https://www-ncbi-nlm-nih-gov.ucsf.idm.oclc.org/pubmed/?term=Freeman%20TP%5BAuthor%5D&amp;cauthor=true&amp;cauthor_uid=26213314" TargetMode="External"/><Relationship Id="rId23" Type="http://schemas.openxmlformats.org/officeDocument/2006/relationships/hyperlink" Target="https://www-ncbi-nlm-nih-gov.ucsf.idm.oclc.org/pubmed/?term=Bajaj%20L%5BAuthor%5D&amp;cauthor=true&amp;cauthor_uid=27454910" TargetMode="External"/><Relationship Id="rId28" Type="http://schemas.openxmlformats.org/officeDocument/2006/relationships/hyperlink" Target="https://www-ncbi-nlm-nih-gov.ucsf.idm.oclc.org/pubmed/?term=El%20Saleeby%20CM%5BAuthor%5D&amp;cauthor=true&amp;cauthor_uid=29406477" TargetMode="External"/><Relationship Id="rId10" Type="http://schemas.openxmlformats.org/officeDocument/2006/relationships/hyperlink" Target="http://dx.doi.org.ucsf.idm.oclc.org/10.1017/S0033291715001178" TargetMode="External"/><Relationship Id="rId19" Type="http://schemas.openxmlformats.org/officeDocument/2006/relationships/hyperlink" Target="https://www-ncbi-nlm-nih-gov.ucsf.idm.oclc.org/pubmed/?term=Moulin%20AK%5BAuthor%5D&amp;cauthor=true&amp;cauthor_uid=28888560" TargetMode="External"/><Relationship Id="rId31" Type="http://schemas.openxmlformats.org/officeDocument/2006/relationships/hyperlink" Target="https://www.leafly.com/products/topicals" TargetMode="External"/><Relationship Id="rId4" Type="http://schemas.openxmlformats.org/officeDocument/2006/relationships/hyperlink" Target="https://www-ncbi-nlm-nih-gov.ucsf.idm.oclc.org/pubmed/?term=Kilmer%20B%5BAuthor%5D&amp;cauthor=true&amp;cauthor_uid=28556310" TargetMode="External"/><Relationship Id="rId9" Type="http://schemas.openxmlformats.org/officeDocument/2006/relationships/hyperlink" Target="http://dx.doi.org.ucsf.idm.oclc.org/10.1007/BF00442005" TargetMode="External"/><Relationship Id="rId14" Type="http://schemas.openxmlformats.org/officeDocument/2006/relationships/hyperlink" Target="http://dx.doi.org.ucsf.idm.oclc.org/10.1017/S0033291715002342" TargetMode="External"/><Relationship Id="rId22" Type="http://schemas.openxmlformats.org/officeDocument/2006/relationships/hyperlink" Target="https://www-ncbi-nlm-nih-gov.ucsf.idm.oclc.org/pubmed/?term=Bronstein%20AC%5BAuthor%5D&amp;cauthor=true&amp;cauthor_uid=27454910" TargetMode="External"/><Relationship Id="rId27" Type="http://schemas.openxmlformats.org/officeDocument/2006/relationships/hyperlink" Target="https://www-ncbi-nlm-nih-gov.ucsf.idm.oclc.org/pubmed/?term=Wexler%20I%5BAuthor%5D&amp;cauthor=true&amp;cauthor_uid=26440670" TargetMode="External"/><Relationship Id="rId30" Type="http://schemas.openxmlformats.org/officeDocument/2006/relationships/hyperlink" Target="https://www.cdph.ca.gov/Documents/OMCS_ISOR_DPH-17-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DED89-0585-E943-A922-9CE49B42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10672</Words>
  <Characters>60835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Lynn Silver</cp:lastModifiedBy>
  <cp:revision>2</cp:revision>
  <cp:lastPrinted>2018-08-15T18:39:00Z</cp:lastPrinted>
  <dcterms:created xsi:type="dcterms:W3CDTF">2018-08-22T05:26:00Z</dcterms:created>
  <dcterms:modified xsi:type="dcterms:W3CDTF">2018-08-22T05:26:00Z</dcterms:modified>
</cp:coreProperties>
</file>